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r>
        <w:rPr>
          <w:rFonts w:hAnsi="黑体"/>
        </w:rPr>
        <w:fldChar w:fldCharType="begin">
          <w:ffData>
            <w:name w:val="OSTD_CODE"/>
            <w:enabled/>
            <w:calcOnExit w:val="0"/>
            <w:textInput>
              <w:default w:val="代替DB61/T 220-2014"/>
            </w:textInput>
          </w:ffData>
        </w:fldChar>
      </w:r>
      <w:bookmarkStart w:id="8" w:name="OSTD_CODE"/>
      <w:r>
        <w:rPr>
          <w:rFonts w:hAnsi="黑体"/>
        </w:rPr>
        <w:instrText xml:space="preserve"> FORMTEXT </w:instrText>
      </w:r>
      <w:r>
        <w:rPr>
          <w:rFonts w:hAnsi="黑体"/>
        </w:rPr>
        <w:fldChar w:fldCharType="separate"/>
      </w:r>
      <w:r>
        <w:rPr>
          <w:rFonts w:hAnsi="黑体"/>
        </w:rPr>
        <w:t>代替DB61/T 220-2014</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4部分：栽培"/>
            </w:textInput>
          </w:ffData>
        </w:fldChar>
      </w:r>
      <w:bookmarkStart w:id="9" w:name="CSTD_NAME"/>
      <w:r>
        <w:instrText xml:space="preserve"> FORMTEXT </w:instrText>
      </w:r>
      <w:r>
        <w:fldChar w:fldCharType="separate"/>
      </w:r>
      <w:r>
        <w:t>猕猴桃生产 第4部分：栽培</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pPr>
      <w:r>
        <w:rPr>
          <w:rFonts w:hint="eastAsia"/>
        </w:rPr>
        <w:t>本文件代替</w:t>
      </w:r>
      <w:r>
        <w:t>DB61/T 220-2014</w:t>
      </w:r>
      <w:r>
        <w:rPr>
          <w:rFonts w:hint="eastAsia"/>
        </w:rPr>
        <w:t>《猕猴桃 栽培技术规程》，与</w:t>
      </w:r>
      <w:r>
        <w:t>DB61/T 220-2014</w:t>
      </w:r>
      <w:r>
        <w:rPr>
          <w:rFonts w:hint="eastAsia"/>
        </w:rPr>
        <w:t>相比，除结构调整和编辑性修改外，主要技术变化如下：</w:t>
      </w:r>
    </w:p>
    <w:p>
      <w:pPr>
        <w:pStyle w:val="62"/>
        <w:ind w:firstLine="420"/>
      </w:pPr>
      <w:r>
        <w:rPr>
          <w:rFonts w:hint="eastAsia"/>
        </w:rPr>
        <w:t>a)修改了名称；</w:t>
      </w:r>
      <w:bookmarkStart w:id="46" w:name="_GoBack"/>
      <w:bookmarkEnd w:id="46"/>
    </w:p>
    <w:p>
      <w:pPr>
        <w:pStyle w:val="62"/>
        <w:ind w:firstLine="420"/>
      </w:pPr>
      <w:r>
        <w:rPr>
          <w:rFonts w:hint="eastAsia"/>
        </w:rPr>
        <w:t>b)调整了前言部分；</w:t>
      </w:r>
    </w:p>
    <w:p>
      <w:pPr>
        <w:pStyle w:val="62"/>
        <w:ind w:firstLine="420"/>
      </w:pPr>
      <w:r>
        <w:rPr>
          <w:rFonts w:hint="eastAsia"/>
        </w:rPr>
        <w:t>c)调整了引用文件；</w:t>
      </w:r>
    </w:p>
    <w:p>
      <w:pPr>
        <w:pStyle w:val="62"/>
        <w:ind w:firstLine="420"/>
      </w:pPr>
      <w:r>
        <w:rPr>
          <w:rFonts w:hint="eastAsia"/>
        </w:rPr>
        <w:t>d)修改了范围；</w:t>
      </w:r>
    </w:p>
    <w:p>
      <w:pPr>
        <w:pStyle w:val="62"/>
        <w:ind w:firstLine="420"/>
      </w:pPr>
      <w:r>
        <w:rPr>
          <w:rFonts w:hint="eastAsia"/>
        </w:rPr>
        <w:t>e)修改了术语定义；</w:t>
      </w:r>
    </w:p>
    <w:p>
      <w:pPr>
        <w:pStyle w:val="62"/>
        <w:ind w:firstLine="420"/>
      </w:pPr>
      <w:r>
        <w:rPr>
          <w:rFonts w:hint="eastAsia"/>
        </w:rPr>
        <w:t>f)修改了生产目标；</w:t>
      </w:r>
    </w:p>
    <w:p>
      <w:pPr>
        <w:pStyle w:val="62"/>
        <w:ind w:firstLine="420"/>
      </w:pPr>
      <w:r>
        <w:rPr>
          <w:rFonts w:hint="eastAsia"/>
        </w:rPr>
        <w:t>g)修改完善了土壤管理；</w:t>
      </w:r>
    </w:p>
    <w:p>
      <w:pPr>
        <w:pStyle w:val="62"/>
        <w:ind w:firstLine="420"/>
      </w:pPr>
      <w:r>
        <w:rPr>
          <w:rFonts w:hint="eastAsia"/>
        </w:rPr>
        <w:t>h)增加了油渣使用的规定；</w:t>
      </w:r>
    </w:p>
    <w:p>
      <w:pPr>
        <w:pStyle w:val="62"/>
        <w:ind w:firstLine="420"/>
      </w:pPr>
      <w:r>
        <w:t>i</w:t>
      </w:r>
      <w:r>
        <w:rPr>
          <w:rFonts w:hint="eastAsia"/>
        </w:rPr>
        <w:t>)增加了整形相关内容；</w:t>
      </w:r>
    </w:p>
    <w:p>
      <w:pPr>
        <w:pStyle w:val="62"/>
        <w:ind w:firstLine="420"/>
      </w:pPr>
      <w:r>
        <w:t>j</w:t>
      </w:r>
      <w:r>
        <w:rPr>
          <w:rFonts w:hint="eastAsia"/>
        </w:rPr>
        <w:t>)增加了日灼的规定内容；</w:t>
      </w:r>
    </w:p>
    <w:p>
      <w:pPr>
        <w:pStyle w:val="62"/>
        <w:ind w:firstLine="420"/>
        <w:rPr>
          <w:rFonts w:hint="eastAsia"/>
        </w:rPr>
      </w:pPr>
      <w:r>
        <w:t>k</w:t>
      </w:r>
      <w:r>
        <w:rPr>
          <w:rFonts w:hint="eastAsia"/>
        </w:rPr>
        <w:t>)简化了授粉、采收、病虫害防治等相关内容</w:t>
      </w:r>
    </w:p>
    <w:p>
      <w:pPr>
        <w:pStyle w:val="62"/>
        <w:ind w:firstLine="420"/>
      </w:pPr>
      <w:r>
        <w:rPr>
          <w:rFonts w:hint="eastAsia"/>
        </w:rPr>
        <w:t>l)增加了附录</w:t>
      </w:r>
      <w:r>
        <w:t>A</w:t>
      </w:r>
      <w:r>
        <w:rPr>
          <w:rFonts w:hint="eastAsia"/>
        </w:rPr>
        <w:t>。</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本文件起草单位：陕西省果业中心、西北农林科技大学、眉县农业农村局、安康市农业科学研究院、城固县果业局、临渭区果业发展中心、陕西理工大学、杨凌梦绿生态农业有限责任公司。</w:t>
      </w:r>
    </w:p>
    <w:p>
      <w:pPr>
        <w:pStyle w:val="62"/>
        <w:ind w:firstLine="420"/>
      </w:pPr>
      <w:r>
        <w:rPr>
          <w:rFonts w:hint="eastAsia"/>
        </w:rPr>
        <w:t>本文件主要起草人：</w:t>
      </w:r>
      <w:r>
        <w:rPr>
          <w:rFonts w:hint="eastAsia"/>
          <w:lang w:eastAsia="zh-CN"/>
        </w:rPr>
        <w:t>杨建伟、</w:t>
      </w:r>
      <w:r>
        <w:rPr>
          <w:rFonts w:hint="eastAsia"/>
        </w:rPr>
        <w:t>刘占德、刘艳飞、王南南、张羽、贺浩浩、赵菊琴、张文慧、唐晓东、屈学农、姚春潮、李建军、张浩、何若梦、衡涛、史孟凡、孟红志、曲东、冯志峰、高志雄。</w:t>
      </w:r>
    </w:p>
    <w:p>
      <w:pPr>
        <w:pStyle w:val="62"/>
        <w:ind w:firstLine="420"/>
      </w:pPr>
      <w:r>
        <w:rPr>
          <w:rFonts w:hint="eastAsia"/>
        </w:rPr>
        <w:t>本文件为第一次修订。</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3" w:name="NEW_STAND_NAME"/>
          <w:r>
            <w:rPr>
              <w:rFonts w:hint="eastAsia"/>
            </w:rPr>
            <w:t>猕猴桃生产 第</w:t>
          </w:r>
          <w:r>
            <w:t>4</w:t>
          </w:r>
          <w:r>
            <w:rPr>
              <w:rFonts w:hint="eastAsia"/>
            </w:rPr>
            <w:t>部分：栽培</w:t>
          </w:r>
        </w:p>
      </w:sdtContent>
    </w:sdt>
    <w:bookmarkEnd w:id="23"/>
    <w:p>
      <w:pPr>
        <w:pStyle w:val="109"/>
        <w:spacing w:before="312" w:after="312"/>
      </w:pPr>
      <w:bookmarkStart w:id="24" w:name="_Toc24884211"/>
      <w:bookmarkStart w:id="25" w:name="_Toc17233333"/>
      <w:bookmarkStart w:id="26" w:name="_Toc97191423"/>
      <w:bookmarkStart w:id="27" w:name="_Toc26718930"/>
      <w:bookmarkStart w:id="28" w:name="_Toc24884218"/>
      <w:bookmarkStart w:id="29" w:name="_Toc26986771"/>
      <w:bookmarkStart w:id="30" w:name="_Toc17233325"/>
      <w:bookmarkStart w:id="31" w:name="_Toc26986530"/>
      <w:bookmarkStart w:id="32" w:name="_Toc26648465"/>
      <w:r>
        <w:rPr>
          <w:rFonts w:hint="eastAsia"/>
        </w:rPr>
        <w:t>范围</w:t>
      </w:r>
      <w:bookmarkEnd w:id="24"/>
      <w:bookmarkEnd w:id="25"/>
      <w:bookmarkEnd w:id="26"/>
      <w:bookmarkEnd w:id="27"/>
      <w:bookmarkEnd w:id="28"/>
      <w:bookmarkEnd w:id="29"/>
      <w:bookmarkEnd w:id="30"/>
      <w:bookmarkEnd w:id="31"/>
      <w:bookmarkEnd w:id="32"/>
    </w:p>
    <w:p>
      <w:pPr>
        <w:pStyle w:val="62"/>
        <w:ind w:firstLine="420"/>
      </w:pPr>
      <w:bookmarkStart w:id="33" w:name="_Toc17233326"/>
      <w:bookmarkStart w:id="34" w:name="_Toc24884219"/>
      <w:bookmarkStart w:id="35" w:name="_Toc26648466"/>
      <w:bookmarkStart w:id="36" w:name="_Toc17233334"/>
      <w:bookmarkStart w:id="37" w:name="_Toc24884212"/>
      <w:r>
        <w:rPr>
          <w:rFonts w:hint="eastAsia"/>
        </w:rPr>
        <w:t>本文件规定了猕猴桃栽培的生产目标、标准化建园、土壤管理、水肥管理、整形修剪、花果管理、病虫害防控、适时采收及自然灾害防御等要求。</w:t>
      </w:r>
    </w:p>
    <w:p>
      <w:pPr>
        <w:pStyle w:val="62"/>
        <w:ind w:firstLine="420"/>
      </w:pPr>
      <w:r>
        <w:rPr>
          <w:rFonts w:hint="eastAsia"/>
        </w:rPr>
        <w:t>本文件适用于陕西秦岭北麓和陕南秦巴山区猕猴桃的生产管理。</w:t>
      </w:r>
    </w:p>
    <w:p>
      <w:pPr>
        <w:pStyle w:val="109"/>
        <w:spacing w:before="312" w:after="312"/>
      </w:pPr>
      <w:bookmarkStart w:id="38" w:name="_Toc26986772"/>
      <w:bookmarkStart w:id="39" w:name="_Toc97191424"/>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2"/>
        <w:ind w:firstLine="420"/>
      </w:pPr>
      <w:r>
        <w:rPr>
          <w:rFonts w:hint="eastAsia"/>
        </w:rPr>
        <w:t>GB 5084 《农田灌溉水质标准》</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NY/T 425-2000 绿色食品 猕猴桃</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NY/T 393-20</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 xml:space="preserve"> 绿色食品 农药使用准则</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NY/T 394</w:t>
      </w:r>
      <w:r>
        <w:rPr>
          <w:color w:val="000000" w:themeColor="text1"/>
          <w14:textFill>
            <w14:solidFill>
              <w14:schemeClr w14:val="tx1"/>
            </w14:solidFill>
          </w14:textFill>
        </w:rPr>
        <w:t>-2021</w:t>
      </w:r>
      <w:r>
        <w:rPr>
          <w:rFonts w:hint="eastAsia"/>
          <w:color w:val="000000" w:themeColor="text1"/>
          <w14:textFill>
            <w14:solidFill>
              <w14:schemeClr w14:val="tx1"/>
            </w14:solidFill>
          </w14:textFill>
        </w:rPr>
        <w:t xml:space="preserve"> 绿色食品 肥料使用准则</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NY/T 391-20</w:t>
      </w:r>
      <w:r>
        <w:rPr>
          <w:color w:val="000000" w:themeColor="text1"/>
          <w14:textFill>
            <w14:solidFill>
              <w14:schemeClr w14:val="tx1"/>
            </w14:solidFill>
          </w14:textFill>
        </w:rPr>
        <w:t>21</w:t>
      </w:r>
      <w:r>
        <w:rPr>
          <w:rFonts w:hint="eastAsia"/>
          <w:color w:val="000000" w:themeColor="text1"/>
          <w14:textFill>
            <w14:solidFill>
              <w14:schemeClr w14:val="tx1"/>
            </w14:solidFill>
          </w14:textFill>
        </w:rPr>
        <w:t xml:space="preserve"> 绿色食品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产地环境质量</w:t>
      </w:r>
    </w:p>
    <w:p>
      <w:pPr>
        <w:pStyle w:val="109"/>
        <w:spacing w:before="312" w:after="312"/>
      </w:pPr>
      <w:bookmarkStart w:id="42" w:name="_Toc97191425"/>
      <w:r>
        <w:rPr>
          <w:rFonts w:hint="eastAsia"/>
          <w:szCs w:val="21"/>
        </w:rPr>
        <w:t>术语和定义</w:t>
      </w:r>
      <w:bookmarkEnd w:id="42"/>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下列术语和定义适用于本文件。</w:t>
          </w:r>
        </w:p>
      </w:sdtContent>
    </w:sdt>
    <w:bookmarkEnd w:id="22"/>
    <w:p>
      <w:pPr>
        <w:pStyle w:val="109"/>
        <w:spacing w:before="312" w:after="312"/>
        <w:rPr>
          <w:szCs w:val="21"/>
        </w:rPr>
      </w:pPr>
      <w:bookmarkStart w:id="43" w:name="BookMark8"/>
      <w:r>
        <w:rPr>
          <w:rFonts w:hint="eastAsia"/>
          <w:szCs w:val="21"/>
        </w:rPr>
        <w:t>生产目标</w:t>
      </w:r>
    </w:p>
    <w:p>
      <w:pPr>
        <w:pStyle w:val="110"/>
        <w:spacing w:before="156" w:after="156"/>
      </w:pPr>
      <w:r>
        <w:rPr>
          <w:rFonts w:hint="eastAsia"/>
        </w:rPr>
        <w:t>生产要求</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生产环境应符合NY/T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391-2021的规定，农药使用应符合NY/T 393-2020的规定，肥料使用应符合NY/T 394-2021的规定。</w:t>
      </w:r>
    </w:p>
    <w:p>
      <w:pPr>
        <w:pStyle w:val="110"/>
        <w:spacing w:before="156" w:after="156"/>
      </w:pPr>
      <w:r>
        <w:rPr>
          <w:rFonts w:hint="eastAsia"/>
        </w:rPr>
        <w:t>产品指标</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成龄园美味猕猴桃2000</w:t>
      </w:r>
      <w:r>
        <w:rPr>
          <w:rStyle w:val="239"/>
          <w:rFonts w:ascii="Times New Roman"/>
          <w:color w:val="000000" w:themeColor="text1"/>
          <w:sz w:val="24"/>
          <w:szCs w:val="24"/>
          <w14:textFill>
            <w14:solidFill>
              <w14:schemeClr w14:val="tx1"/>
            </w14:solidFill>
          </w14:textFill>
        </w:rPr>
        <w:t xml:space="preserve"> </w:t>
      </w:r>
      <w:r>
        <w:rPr>
          <w:rFonts w:hint="eastAsia"/>
          <w:color w:val="000000" w:themeColor="text1"/>
          <w14:textFill>
            <w14:solidFill>
              <w14:schemeClr w14:val="tx1"/>
            </w14:solidFill>
          </w14:textFill>
        </w:rPr>
        <w:t>kg/667 m</w:t>
      </w:r>
      <w:r>
        <w:rPr>
          <w:rFonts w:hint="eastAsia"/>
          <w:color w:val="000000" w:themeColor="text1"/>
          <w:vertAlign w:val="superscript"/>
          <w14:textFill>
            <w14:solidFill>
              <w14:schemeClr w14:val="tx1"/>
            </w14:solidFill>
          </w14:textFill>
        </w:rPr>
        <w:t>2</w:t>
      </w:r>
      <w:r>
        <w:rPr>
          <w:rStyle w:val="239"/>
          <w:rFonts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2500 kg/667 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，中华猕猴桃1500 kg/667 m</w:t>
      </w:r>
      <w:r>
        <w:rPr>
          <w:rFonts w:hint="eastAsia"/>
          <w:color w:val="000000" w:themeColor="text1"/>
          <w:vertAlign w:val="superscript"/>
          <w14:textFill>
            <w14:solidFill>
              <w14:schemeClr w14:val="tx1"/>
            </w14:solidFill>
          </w14:textFill>
        </w:rPr>
        <w:t>2</w:t>
      </w:r>
      <w:r>
        <w:rPr>
          <w:rStyle w:val="239"/>
          <w:rFonts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2000 kg/667 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，商品果率95%以上。产品质量应符合NY/T 425-2000的规定。</w:t>
      </w:r>
    </w:p>
    <w:p>
      <w:pPr>
        <w:pStyle w:val="109"/>
        <w:spacing w:before="312" w:after="312"/>
        <w:rPr>
          <w:szCs w:val="21"/>
        </w:rPr>
      </w:pPr>
      <w:r>
        <w:rPr>
          <w:rFonts w:hint="eastAsia"/>
          <w:szCs w:val="21"/>
        </w:rPr>
        <w:t>标准化建园</w:t>
      </w:r>
    </w:p>
    <w:p>
      <w:pPr>
        <w:pStyle w:val="62"/>
        <w:ind w:firstLine="420"/>
        <w:rPr>
          <w:color w:val="000000" w:themeColor="text1"/>
          <w14:textFill>
            <w14:solidFill>
              <w14:schemeClr w14:val="tx1"/>
            </w14:solidFill>
          </w14:textFill>
        </w:rPr>
      </w:pPr>
      <w:r>
        <w:rPr>
          <w:rFonts w:ascii="Times New Roman"/>
          <w:szCs w:val="21"/>
        </w:rPr>
        <w:t>按照第2部分</w:t>
      </w:r>
      <w:r>
        <w:rPr>
          <w:rFonts w:hint="eastAsia" w:ascii="Times New Roman"/>
          <w:szCs w:val="21"/>
        </w:rPr>
        <w:t>：建园</w:t>
      </w:r>
      <w:r>
        <w:rPr>
          <w:rFonts w:ascii="Times New Roman"/>
          <w:szCs w:val="21"/>
        </w:rPr>
        <w:t>执行</w:t>
      </w:r>
      <w:r>
        <w:rPr>
          <w:rFonts w:hint="eastAsia"/>
          <w:color w:val="000000" w:themeColor="text1"/>
          <w14:textFill>
            <w14:solidFill>
              <w14:schemeClr w14:val="tx1"/>
            </w14:solidFill>
          </w14:textFill>
        </w:rPr>
        <w:t>。</w:t>
      </w:r>
    </w:p>
    <w:p>
      <w:pPr>
        <w:pStyle w:val="109"/>
        <w:spacing w:before="312" w:after="312"/>
        <w:rPr>
          <w:szCs w:val="21"/>
        </w:rPr>
      </w:pPr>
      <w:r>
        <w:rPr>
          <w:rFonts w:hint="eastAsia"/>
          <w:szCs w:val="21"/>
        </w:rPr>
        <w:t>土壤管理</w:t>
      </w:r>
    </w:p>
    <w:p>
      <w:pPr>
        <w:pStyle w:val="110"/>
        <w:spacing w:before="156" w:after="156"/>
      </w:pPr>
      <w:r>
        <w:rPr>
          <w:rFonts w:hint="eastAsia"/>
        </w:rPr>
        <w:t>深翻改土</w:t>
      </w:r>
    </w:p>
    <w:p>
      <w:pPr>
        <w:pStyle w:val="62"/>
        <w:ind w:firstLine="420"/>
      </w:pPr>
      <w:r>
        <w:rPr>
          <w:rFonts w:hint="eastAsia"/>
        </w:rPr>
        <w:t>果园应持续实施土壤改良。</w:t>
      </w:r>
    </w:p>
    <w:p>
      <w:pPr>
        <w:pStyle w:val="62"/>
        <w:numPr>
          <w:ilvl w:val="0"/>
          <w:numId w:val="30"/>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新建园。建园前施腐熟有机肥2 t/667 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 xml:space="preserve">以上，全园深翻60 </w:t>
      </w:r>
      <w:r>
        <w:rPr>
          <w:color w:val="000000" w:themeColor="text1"/>
          <w14:textFill>
            <w14:solidFill>
              <w14:schemeClr w14:val="tx1"/>
            </w14:solidFill>
          </w14:textFill>
        </w:rPr>
        <w:t>cm</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80 cm。</w:t>
      </w:r>
    </w:p>
    <w:p>
      <w:pPr>
        <w:pStyle w:val="62"/>
        <w:numPr>
          <w:ilvl w:val="0"/>
          <w:numId w:val="30"/>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老果园。每年结合秋施基肥，顺树行由内向外逐步扩展，深翻以不伤害直径在0.4 cm以上根系为宜。</w:t>
      </w:r>
    </w:p>
    <w:p>
      <w:pPr>
        <w:pStyle w:val="110"/>
        <w:spacing w:before="156" w:after="156"/>
      </w:pPr>
      <w:r>
        <w:rPr>
          <w:rFonts w:hint="eastAsia"/>
        </w:rPr>
        <w:t>果园间套</w:t>
      </w:r>
    </w:p>
    <w:p>
      <w:pPr>
        <w:pStyle w:val="62"/>
        <w:ind w:firstLine="420"/>
        <w:rPr>
          <w:color w:val="000000" w:themeColor="text1"/>
          <w14:textFill>
            <w14:solidFill>
              <w14:schemeClr w14:val="tx1"/>
            </w14:solidFill>
          </w14:textFill>
        </w:rPr>
      </w:pPr>
      <w:r>
        <w:rPr>
          <w:rFonts w:hint="eastAsia" w:ascii="Times New Roman"/>
          <w:szCs w:val="21"/>
        </w:rPr>
        <w:t>幼园期，</w:t>
      </w:r>
      <w:r>
        <w:rPr>
          <w:rFonts w:ascii="Times New Roman"/>
          <w:szCs w:val="21"/>
        </w:rPr>
        <w:t>间作或套种矮秆无共性病虫害的绿肥或经济作物，如</w:t>
      </w:r>
      <w:r>
        <w:rPr>
          <w:rFonts w:hint="eastAsia" w:ascii="Times New Roman"/>
          <w:szCs w:val="21"/>
        </w:rPr>
        <w:t>玉米遮阴或者间（套）作</w:t>
      </w:r>
      <w:r>
        <w:rPr>
          <w:rFonts w:ascii="Times New Roman"/>
          <w:szCs w:val="21"/>
        </w:rPr>
        <w:t>蔬菜、</w:t>
      </w:r>
      <w:r>
        <w:rPr>
          <w:rFonts w:hint="eastAsia" w:ascii="Times New Roman"/>
          <w:szCs w:val="21"/>
        </w:rPr>
        <w:t>油菜</w:t>
      </w:r>
      <w:r>
        <w:rPr>
          <w:rFonts w:ascii="Times New Roman"/>
          <w:szCs w:val="21"/>
        </w:rPr>
        <w:t>等</w:t>
      </w:r>
      <w:r>
        <w:rPr>
          <w:rFonts w:hint="eastAsia"/>
          <w:color w:val="000000" w:themeColor="text1"/>
          <w14:textFill>
            <w14:solidFill>
              <w14:schemeClr w14:val="tx1"/>
            </w14:solidFill>
          </w14:textFill>
        </w:rPr>
        <w:t>。</w:t>
      </w:r>
    </w:p>
    <w:p>
      <w:pPr>
        <w:pStyle w:val="109"/>
        <w:spacing w:before="312" w:after="312"/>
        <w:rPr>
          <w:szCs w:val="21"/>
        </w:rPr>
      </w:pPr>
      <w:r>
        <w:rPr>
          <w:rFonts w:hint="eastAsia"/>
          <w:szCs w:val="21"/>
        </w:rPr>
        <w:t>水肥管理</w:t>
      </w:r>
    </w:p>
    <w:p>
      <w:pPr>
        <w:pStyle w:val="110"/>
        <w:spacing w:before="156" w:after="156"/>
      </w:pPr>
      <w:r>
        <w:rPr>
          <w:rFonts w:hint="eastAsia"/>
        </w:rPr>
        <w:t>基本原则</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根据猕猴桃需水、需肥规律，灌水应少量多次，施肥以有机肥为主、配合施用化肥。</w:t>
      </w:r>
    </w:p>
    <w:p>
      <w:pPr>
        <w:pStyle w:val="110"/>
        <w:spacing w:before="156" w:after="156"/>
      </w:pPr>
      <w:r>
        <w:rPr>
          <w:rFonts w:hint="eastAsia"/>
        </w:rPr>
        <w:t>灌排水</w:t>
      </w:r>
    </w:p>
    <w:p>
      <w:pPr>
        <w:pStyle w:val="71"/>
        <w:spacing w:before="156" w:after="156"/>
        <w:ind w:left="0"/>
      </w:pPr>
      <w:r>
        <w:rPr>
          <w:rFonts w:hint="eastAsia"/>
        </w:rPr>
        <w:t>灌水</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保持土壤最大持水量的65</w:t>
      </w:r>
      <w:r>
        <w:rPr>
          <w:rFonts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80%；土壤持水量低于65%时，叶片开始萎蔫，应及时进行灌水。灌溉水质应符合GB 5084要求。</w:t>
      </w:r>
    </w:p>
    <w:p>
      <w:pPr>
        <w:pStyle w:val="102"/>
      </w:pPr>
      <w:r>
        <w:rPr>
          <w:rFonts w:hint="eastAsia"/>
        </w:rPr>
        <w:t>灌溉时间。萌芽前、花前花后根据土壤湿度各灌水一次，花期应控制灌水；果实迅速膨大期（5月底</w:t>
      </w:r>
      <w:r>
        <w:rPr>
          <w:rFonts w:ascii="Times New Roman" w:hAnsi="Times New Roman"/>
        </w:rPr>
        <w:t>~</w:t>
      </w:r>
      <w:r>
        <w:rPr>
          <w:rFonts w:hint="eastAsia"/>
        </w:rPr>
        <w:t>7月中旬）为猕猴桃需水关键时期，可根据土壤墒情灌水2</w:t>
      </w:r>
      <w:r>
        <w:rPr>
          <w:rFonts w:ascii="Times New Roman" w:hAnsi="Times New Roman"/>
        </w:rPr>
        <w:t>~</w:t>
      </w:r>
      <w:r>
        <w:rPr>
          <w:rFonts w:hint="eastAsia"/>
        </w:rPr>
        <w:t>3次；果实缓慢生长期至成熟期需水相对较少，根据土壤墒情和天气状况可适当灌水；采收前15 d左右应停止灌水；越冬前灌透水一次。</w:t>
      </w:r>
    </w:p>
    <w:p>
      <w:pPr>
        <w:pStyle w:val="102"/>
      </w:pPr>
      <w:r>
        <w:rPr>
          <w:rFonts w:hint="eastAsia"/>
        </w:rPr>
        <w:t>灌溉方法。采用漫灌、沟灌、隔行灌溉等，有条件的可实施渗灌、滴灌、喷灌、微喷灌等节水灌溉方法。</w:t>
      </w:r>
    </w:p>
    <w:p>
      <w:pPr>
        <w:pStyle w:val="71"/>
        <w:spacing w:before="156" w:after="156"/>
        <w:ind w:left="0"/>
      </w:pPr>
      <w:r>
        <w:rPr>
          <w:rFonts w:hint="eastAsia"/>
        </w:rPr>
        <w:t>排水</w:t>
      </w:r>
    </w:p>
    <w:p>
      <w:pPr>
        <w:pStyle w:val="62"/>
        <w:ind w:firstLine="420"/>
      </w:pPr>
      <w:r>
        <w:rPr>
          <w:rFonts w:hint="eastAsia"/>
        </w:rPr>
        <w:t>低洼地、易积水或山地猕猴桃果园，必须配置排水沟或布设暗管，及时排除积水。容易积水和地下水位较高的地块应采用高垄栽植。</w:t>
      </w:r>
    </w:p>
    <w:p>
      <w:pPr>
        <w:pStyle w:val="62"/>
        <w:ind w:firstLine="420"/>
      </w:pPr>
      <w:r>
        <w:rPr>
          <w:rFonts w:hint="eastAsia"/>
        </w:rPr>
        <w:t>陕南丘陵、山地猕猴桃果园可在塬头挖坑蓄水，或者在作业区内地势较高的地方建设蓄水池。</w:t>
      </w:r>
    </w:p>
    <w:p>
      <w:pPr>
        <w:pStyle w:val="110"/>
        <w:spacing w:before="156" w:after="156"/>
      </w:pPr>
      <w:r>
        <w:rPr>
          <w:rFonts w:hint="eastAsia"/>
        </w:rPr>
        <w:t>施肥</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肥料使用符合NY/T 394-2021的规定。基肥以有机肥为主，科学配比氮、磷、钾、钙及中微量元素肥料和生物菌肥，控制化肥特别是氮肥的使用量。施肥量参考表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1和表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2。</w:t>
      </w:r>
    </w:p>
    <w:p>
      <w:pPr>
        <w:pStyle w:val="179"/>
        <w:numPr>
          <w:ilvl w:val="0"/>
          <w:numId w:val="31"/>
        </w:numPr>
        <w:rPr>
          <w:color w:val="000000" w:themeColor="text1"/>
          <w14:textFill>
            <w14:solidFill>
              <w14:schemeClr w14:val="tx1"/>
            </w14:solidFill>
          </w14:textFill>
        </w:rPr>
      </w:pPr>
      <w:r>
        <w:rPr>
          <w:rFonts w:hint="eastAsia"/>
          <w:color w:val="000000" w:themeColor="text1"/>
          <w14:textFill>
            <w14:solidFill>
              <w14:schemeClr w14:val="tx1"/>
            </w14:solidFill>
          </w14:textFill>
        </w:rPr>
        <w:t>基肥。采果后至落叶前，结合秋深耕、施腐熟有机肥2500 kg/667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3500 kg/667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，配施生物菌肥50 kg/667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、多元矿物微肥50 kg/667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、磷肥20 kg/667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p>
    <w:p>
      <w:pPr>
        <w:pStyle w:val="179"/>
        <w:numPr>
          <w:ilvl w:val="0"/>
          <w:numId w:val="31"/>
        </w:numPr>
        <w:rPr>
          <w:color w:val="000000" w:themeColor="text1"/>
          <w14:textFill>
            <w14:solidFill>
              <w14:schemeClr w14:val="tx1"/>
            </w14:solidFill>
          </w14:textFill>
        </w:rPr>
      </w:pPr>
      <w:r>
        <w:rPr>
          <w:rFonts w:hint="eastAsia"/>
          <w:color w:val="000000" w:themeColor="text1"/>
          <w14:textFill>
            <w14:solidFill>
              <w14:schemeClr w14:val="tx1"/>
            </w14:solidFill>
          </w14:textFill>
        </w:rPr>
        <w:t>追肥。以氮、磷、钾复合肥为主，配合使用油渣。萌芽至现蕾，第一次以氮为主的复合肥占总肥量的15%；开花后第二次以磷、钾为主的复合肥占总量的15%；6月底7月上旬，第三次以油渣为主；7月中下旬，第四次以钾为主的复合肥占总量10%。</w:t>
      </w:r>
    </w:p>
    <w:p>
      <w:pPr>
        <w:pStyle w:val="184"/>
        <w:numPr>
          <w:ilvl w:val="0"/>
          <w:numId w:val="32"/>
        </w:numPr>
        <w:ind w:firstLine="0"/>
      </w:pPr>
      <w:r>
        <w:rPr>
          <w:rFonts w:hint="eastAsia"/>
        </w:rPr>
        <w:t>油渣的使用。6月底7月上旬，应选择连续晴天，气温21 ℃</w:t>
      </w:r>
      <w:r>
        <w:rPr>
          <w:rFonts w:ascii="Times New Roman"/>
          <w:color w:val="000000" w:themeColor="text1"/>
          <w14:textFill>
            <w14:solidFill>
              <w14:schemeClr w14:val="tx1"/>
            </w14:solidFill>
          </w14:textFill>
        </w:rPr>
        <w:t>~</w:t>
      </w:r>
      <w:r>
        <w:rPr>
          <w:rFonts w:hint="eastAsia"/>
        </w:rPr>
        <w:t xml:space="preserve">26 ℃、土壤湿度90 </w:t>
      </w:r>
      <w:r>
        <w:t>%</w:t>
      </w:r>
      <w:r>
        <w:rPr>
          <w:rFonts w:ascii="Times New Roman"/>
          <w:color w:val="000000" w:themeColor="text1"/>
          <w14:textFill>
            <w14:solidFill>
              <w14:schemeClr w14:val="tx1"/>
            </w14:solidFill>
          </w14:textFill>
        </w:rPr>
        <w:t>~</w:t>
      </w:r>
      <w:r>
        <w:rPr>
          <w:rFonts w:hint="eastAsia"/>
        </w:rPr>
        <w:t>95 %(果园浇透水或下雨后,合墒时)，距离主干0.5 m左右均匀撒入树行间，150 kg/667 m</w:t>
      </w:r>
      <w:r>
        <w:rPr>
          <w:rFonts w:hint="eastAsia"/>
          <w:vertAlign w:val="superscript"/>
        </w:rPr>
        <w:t>2</w:t>
      </w:r>
      <w:r>
        <w:rPr>
          <w:rFonts w:ascii="Times New Roman"/>
          <w:color w:val="000000" w:themeColor="text1"/>
          <w14:textFill>
            <w14:solidFill>
              <w14:schemeClr w14:val="tx1"/>
            </w14:solidFill>
          </w14:textFill>
        </w:rPr>
        <w:t>~</w:t>
      </w:r>
      <w:r>
        <w:rPr>
          <w:rFonts w:hint="eastAsia"/>
        </w:rPr>
        <w:t>200 kg/667 m</w:t>
      </w:r>
      <w:r>
        <w:rPr>
          <w:rFonts w:hint="eastAsia"/>
          <w:vertAlign w:val="superscript"/>
        </w:rPr>
        <w:t>2</w:t>
      </w:r>
      <w:r>
        <w:rPr>
          <w:rFonts w:hint="eastAsia"/>
        </w:rPr>
        <w:t>，5</w:t>
      </w:r>
      <w:r>
        <w:t xml:space="preserve"> d</w:t>
      </w:r>
      <w:r>
        <w:rPr>
          <w:rFonts w:ascii="Times New Roman"/>
          <w:color w:val="000000" w:themeColor="text1"/>
          <w14:textFill>
            <w14:solidFill>
              <w14:schemeClr w14:val="tx1"/>
            </w14:solidFill>
          </w14:textFill>
        </w:rPr>
        <w:t>~</w:t>
      </w:r>
      <w:r>
        <w:rPr>
          <w:rFonts w:hint="eastAsia"/>
        </w:rPr>
        <w:t>7 d待油渣表面布满白色菌丝后，及时浅旋。切忌油渣泡水或在干燥地面撒施。</w:t>
      </w:r>
    </w:p>
    <w:p>
      <w:pPr>
        <w:pStyle w:val="179"/>
        <w:numPr>
          <w:ilvl w:val="0"/>
          <w:numId w:val="31"/>
        </w:numPr>
        <w:rPr>
          <w:color w:val="000000" w:themeColor="text1"/>
          <w14:textFill>
            <w14:solidFill>
              <w14:schemeClr w14:val="tx1"/>
            </w14:solidFill>
          </w14:textFill>
        </w:rPr>
      </w:pPr>
      <w:r>
        <w:rPr>
          <w:rFonts w:hint="eastAsia"/>
          <w:color w:val="000000" w:themeColor="text1"/>
          <w14:textFill>
            <w14:solidFill>
              <w14:schemeClr w14:val="tx1"/>
            </w14:solidFill>
          </w14:textFill>
        </w:rPr>
        <w:t>叶面肥。宜在花前、花后、果实膨大期和采果后，结合病虫防控，喷施含有中微量元素和氨基酸等有机质及生长调节剂的优质叶面肥，每次间隔15 d</w:t>
      </w:r>
      <w:r>
        <w:rPr>
          <w:rFonts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20 d，多种肥料应交替使用，最后一次施用应在果实采收期30 d前完成。施用浓度参见表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.3。</w:t>
      </w:r>
    </w:p>
    <w:p>
      <w:pPr>
        <w:pStyle w:val="109"/>
        <w:spacing w:before="312" w:after="312"/>
        <w:rPr>
          <w:szCs w:val="21"/>
        </w:rPr>
      </w:pPr>
      <w:r>
        <w:rPr>
          <w:rFonts w:hint="eastAsia"/>
          <w:szCs w:val="21"/>
        </w:rPr>
        <w:t>整形修剪</w:t>
      </w:r>
    </w:p>
    <w:p>
      <w:pPr>
        <w:pStyle w:val="110"/>
        <w:spacing w:before="156" w:after="156"/>
      </w:pPr>
      <w:r>
        <w:rPr>
          <w:rFonts w:hint="eastAsia"/>
        </w:rPr>
        <w:t>整形</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遵循高光效、宜机化原则，采用“单主干双主蔓（一干两蔓）”树形。主蔓中心钢绞线下降20 cm，双蔓分支点1.2</w:t>
      </w:r>
      <w:r>
        <w:rPr>
          <w:color w:val="000000" w:themeColor="text1"/>
          <w14:textFill>
            <w14:solidFill>
              <w14:schemeClr w14:val="tx1"/>
            </w14:solidFill>
          </w14:textFill>
        </w:rPr>
        <w:t xml:space="preserve"> m</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1.4 m为宜，及时清除“三角区”的“卡脖枝”或“把门枝”。树形培养方法：</w:t>
      </w:r>
    </w:p>
    <w:p>
      <w:pPr>
        <w:pStyle w:val="179"/>
        <w:numPr>
          <w:ilvl w:val="0"/>
          <w:numId w:val="31"/>
        </w:numPr>
        <w:rPr>
          <w:color w:val="000000" w:themeColor="text1"/>
          <w14:textFill>
            <w14:solidFill>
              <w14:schemeClr w14:val="tx1"/>
            </w14:solidFill>
          </w14:textFill>
        </w:rPr>
      </w:pPr>
      <w:r>
        <w:rPr>
          <w:rFonts w:hint="eastAsia"/>
          <w:color w:val="000000" w:themeColor="text1"/>
          <w14:textFill>
            <w14:solidFill>
              <w14:schemeClr w14:val="tx1"/>
            </w14:solidFill>
          </w14:textFill>
        </w:rPr>
        <w:t>一年生幼树冬季在饱满芽处剪截。</w:t>
      </w:r>
    </w:p>
    <w:p>
      <w:pPr>
        <w:pStyle w:val="179"/>
        <w:numPr>
          <w:ilvl w:val="0"/>
          <w:numId w:val="31"/>
        </w:numPr>
        <w:rPr>
          <w:color w:val="000000" w:themeColor="text1"/>
          <w14:textFill>
            <w14:solidFill>
              <w14:schemeClr w14:val="tx1"/>
            </w14:solidFill>
          </w14:textFill>
        </w:rPr>
      </w:pPr>
      <w:r>
        <w:rPr>
          <w:rFonts w:hint="eastAsia"/>
          <w:color w:val="000000" w:themeColor="text1"/>
          <w14:textFill>
            <w14:solidFill>
              <w14:schemeClr w14:val="tx1"/>
            </w14:solidFill>
          </w14:textFill>
        </w:rPr>
        <w:t>二年生幼树在主干地面以上1.0</w:t>
      </w:r>
      <w:r>
        <w:rPr>
          <w:color w:val="000000" w:themeColor="text1"/>
          <w14:textFill>
            <w14:solidFill>
              <w14:schemeClr w14:val="tx1"/>
            </w14:solidFill>
          </w14:textFill>
        </w:rPr>
        <w:t xml:space="preserve"> m</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1.2 m处留2个饱满芽作为主蔓，于地面以上1.6 m（中心钢绞线平面向下20 cm）处交叉后，分别沿主蔓中心钢绞线反方向伸展，主蔓的两侧每隔30 cm左右留一强壮的结果母枝，与行向呈直角固定在架面上。</w:t>
      </w:r>
    </w:p>
    <w:p>
      <w:pPr>
        <w:pStyle w:val="110"/>
        <w:spacing w:before="156" w:after="156"/>
      </w:pPr>
      <w:r>
        <w:rPr>
          <w:rFonts w:hint="eastAsia"/>
        </w:rPr>
        <w:t>修剪</w:t>
      </w:r>
    </w:p>
    <w:p>
      <w:pPr>
        <w:pStyle w:val="71"/>
        <w:spacing w:before="156" w:after="156"/>
        <w:ind w:left="0"/>
      </w:pPr>
      <w:r>
        <w:rPr>
          <w:rFonts w:hint="eastAsia"/>
        </w:rPr>
        <w:t>冬季</w:t>
      </w:r>
    </w:p>
    <w:p>
      <w:pPr>
        <w:pStyle w:val="62"/>
        <w:ind w:firstLine="420"/>
        <w:rPr>
          <w:color w:val="000000" w:themeColor="text1"/>
          <w14:textFill>
            <w14:solidFill>
              <w14:schemeClr w14:val="tx1"/>
            </w14:solidFill>
          </w14:textFill>
        </w:rPr>
      </w:pPr>
      <w:r>
        <w:rPr>
          <w:rFonts w:hint="eastAsia"/>
        </w:rPr>
        <w:t>12月下旬至次年元月底。</w:t>
      </w:r>
      <w:r>
        <w:rPr>
          <w:rFonts w:hint="eastAsia"/>
          <w:color w:val="000000" w:themeColor="text1"/>
          <w14:textFill>
            <w14:solidFill>
              <w14:schemeClr w14:val="tx1"/>
            </w14:solidFill>
          </w14:textFill>
        </w:rPr>
        <w:t>按1.5个枝/m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选留结果母枝，优先选留距主蔓较近的健壮发育枝或结果枝，数量不足时再选留中庸枝。结果母枝应在粗度0.8 cm的饱满芽处剪截。修剪后，结果母枝间距30 cm左右均匀分布在架面上，保证有效芽数30个/m</w:t>
      </w:r>
      <w:r>
        <w:rPr>
          <w:rFonts w:hint="eastAsia"/>
          <w:color w:val="000000" w:themeColor="text1"/>
          <w:vertAlign w:val="superscript"/>
          <w14:textFill>
            <w14:solidFill>
              <w14:schemeClr w14:val="tx1"/>
            </w14:solidFill>
          </w14:textFill>
        </w:rPr>
        <w:t>2</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35个/m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p>
    <w:p>
      <w:pPr>
        <w:pStyle w:val="71"/>
        <w:spacing w:before="156" w:after="156"/>
        <w:ind w:left="0"/>
      </w:pPr>
      <w:r>
        <w:rPr>
          <w:rFonts w:hint="eastAsia"/>
        </w:rPr>
        <w:t>生长季</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按照“外控内促”原则修剪。</w:t>
      </w:r>
    </w:p>
    <w:p>
      <w:pPr>
        <w:pStyle w:val="179"/>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抹芽：萌芽新梢3 cm</w:t>
      </w:r>
      <w:r>
        <w:rPr>
          <w:rFonts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5 cm时，抹除主蔓或结果母枝上着生位置不适、过密及剪锯口附近的芽、瘪芽。</w:t>
      </w:r>
    </w:p>
    <w:p>
      <w:pPr>
        <w:pStyle w:val="179"/>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疏枝：结果母枝每隔30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cm左右选留一结果枝，疏除背下枝、发育不良的结果枝、过密枝。6</w:t>
      </w:r>
      <w:r>
        <w:rPr>
          <w:rFonts w:hint="eastAsia" w:ascii="Times New Roman"/>
          <w:color w:val="000000" w:themeColor="text1"/>
          <w14:textFill>
            <w14:solidFill>
              <w14:schemeClr w14:val="tx1"/>
            </w14:solidFill>
          </w14:textFill>
        </w:rPr>
        <w:t>月至</w:t>
      </w:r>
      <w:r>
        <w:rPr>
          <w:rFonts w:hint="eastAsia"/>
          <w:color w:val="000000" w:themeColor="text1"/>
          <w14:textFill>
            <w14:solidFill>
              <w14:schemeClr w14:val="tx1"/>
            </w14:solidFill>
          </w14:textFill>
        </w:rPr>
        <w:t>8月，保障透光率30%左右、叶果比达到3</w:t>
      </w:r>
      <w:r>
        <w:rPr>
          <w:color w:val="000000" w:themeColor="text1"/>
          <w14:textFill>
            <w14:solidFill>
              <w14:schemeClr w14:val="tx1"/>
            </w14:solidFill>
          </w14:textFill>
        </w:rPr>
        <w:t>:1</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4:1。</w:t>
      </w:r>
    </w:p>
    <w:p>
      <w:pPr>
        <w:pStyle w:val="179"/>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摘心：自封顶枝条不摘心。发育枝新梢弯曲缠绕生长时摘心或捏尖；徒长枝有空间的留2</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3片叶摘心。结果枝现蕾后，在最上花蕾前留4</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6片叶第一次摘心，二次枝均留2</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4叶摘心，摘心应不迟于现蕾后10 d</w:t>
      </w:r>
      <w:r>
        <w:rPr>
          <w:rFonts w:hint="eastAsia" w:ascii="Times New Roman"/>
          <w:color w:val="000000" w:themeColor="text1"/>
          <w:sz w:val="24"/>
          <w:szCs w:val="24"/>
          <w14:textFill>
            <w14:solidFill>
              <w14:schemeClr w14:val="tx1"/>
            </w14:solidFill>
          </w14:textFill>
        </w:rPr>
        <w:t>~</w:t>
      </w:r>
      <w:r>
        <w:rPr>
          <w:rFonts w:hint="eastAsia"/>
          <w:color w:val="000000" w:themeColor="text1"/>
          <w14:textFill>
            <w14:solidFill>
              <w14:schemeClr w14:val="tx1"/>
            </w14:solidFill>
          </w14:textFill>
        </w:rPr>
        <w:t>15 d。</w:t>
      </w:r>
    </w:p>
    <w:p>
      <w:pPr>
        <w:pStyle w:val="179"/>
        <w:numPr>
          <w:ilvl w:val="0"/>
          <w:numId w:val="33"/>
        </w:numPr>
      </w:pPr>
      <w:r>
        <w:rPr>
          <w:rFonts w:hint="eastAsia"/>
          <w:color w:val="000000" w:themeColor="text1"/>
          <w14:textFill>
            <w14:solidFill>
              <w14:schemeClr w14:val="tx1"/>
            </w14:solidFill>
          </w14:textFill>
        </w:rPr>
        <w:t>培养预备枝：</w:t>
      </w:r>
      <w:r>
        <w:rPr>
          <w:rFonts w:hint="eastAsia"/>
        </w:rPr>
        <w:t>主蔓为中心，垂直主蔓两边各外沿30 cm</w:t>
      </w:r>
      <w:r>
        <w:rPr>
          <w:rFonts w:hint="eastAsia" w:ascii="Times New Roman"/>
          <w:color w:val="000000" w:themeColor="text1"/>
          <w:sz w:val="24"/>
          <w:szCs w:val="24"/>
          <w14:textFill>
            <w14:solidFill>
              <w14:schemeClr w14:val="tx1"/>
            </w14:solidFill>
          </w14:textFill>
        </w:rPr>
        <w:t>~</w:t>
      </w:r>
      <w:r>
        <w:rPr>
          <w:rFonts w:hint="eastAsia"/>
        </w:rPr>
        <w:t>50 cm（架面上第一道铁丝内），强旺树势品种留1.5个/m</w:t>
      </w:r>
      <w:r>
        <w:rPr>
          <w:vertAlign w:val="superscript"/>
        </w:rPr>
        <w:t>2</w:t>
      </w:r>
      <w:r>
        <w:rPr>
          <w:rFonts w:hint="eastAsia"/>
        </w:rPr>
        <w:t>结果母枝，中庸树势品种留2.0个/m</w:t>
      </w:r>
      <w:r>
        <w:rPr>
          <w:rFonts w:hint="eastAsia"/>
          <w:vertAlign w:val="superscript"/>
        </w:rPr>
        <w:t>2</w:t>
      </w:r>
      <w:r>
        <w:rPr>
          <w:rFonts w:hint="eastAsia"/>
        </w:rPr>
        <w:t>结果母枝。</w:t>
      </w:r>
    </w:p>
    <w:p>
      <w:pPr>
        <w:pStyle w:val="71"/>
        <w:spacing w:before="156" w:after="156"/>
        <w:ind w:left="0"/>
      </w:pPr>
      <w:r>
        <w:rPr>
          <w:rFonts w:hint="eastAsia"/>
        </w:rPr>
        <w:t>雄株</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冬季轻剪。5月中下旬，重剪回缩，剪除强旺枝、衰老枝、过密枝。</w:t>
      </w:r>
    </w:p>
    <w:p>
      <w:pPr>
        <w:pStyle w:val="109"/>
        <w:spacing w:before="312" w:after="312"/>
        <w:rPr>
          <w:szCs w:val="21"/>
        </w:rPr>
      </w:pPr>
      <w:r>
        <w:rPr>
          <w:rFonts w:hint="eastAsia"/>
          <w:szCs w:val="21"/>
        </w:rPr>
        <w:t>花果管理</w:t>
      </w:r>
    </w:p>
    <w:p>
      <w:pPr>
        <w:pStyle w:val="110"/>
        <w:spacing w:before="156" w:after="156"/>
      </w:pPr>
      <w:r>
        <w:rPr>
          <w:rFonts w:hint="eastAsia"/>
        </w:rPr>
        <w:t>疏蕾</w:t>
      </w:r>
    </w:p>
    <w:p>
      <w:pPr>
        <w:pStyle w:val="62"/>
        <w:ind w:firstLine="420"/>
        <w:rPr>
          <w:rFonts w:ascii="Times New Roman"/>
          <w:szCs w:val="21"/>
        </w:rPr>
      </w:pPr>
      <w:r>
        <w:rPr>
          <w:rFonts w:hint="eastAsia" w:ascii="Times New Roman"/>
          <w:szCs w:val="21"/>
        </w:rPr>
        <w:t>侧花蕾分离后2周左右开始疏蕾，疏除结果枝上的侧生花蕾、畸形花蕾及病虫危害的花蕾。留花蕾标准：强壮长结果枝5~6个，中庸结果枝3~4个，短果枝1~2个。有冻害发生的地区只需要疏除侧生花蕾、畸形花蕾及病虫危害的花蕾，以防冻害发生后花蕾数量减少造成减产。</w:t>
      </w:r>
    </w:p>
    <w:p>
      <w:pPr>
        <w:pStyle w:val="110"/>
        <w:spacing w:before="156" w:after="156"/>
      </w:pPr>
      <w:r>
        <w:rPr>
          <w:rFonts w:hint="eastAsia"/>
        </w:rPr>
        <w:t>授粉</w:t>
      </w:r>
    </w:p>
    <w:p>
      <w:pPr>
        <w:pStyle w:val="102"/>
      </w:pPr>
      <w:r>
        <w:rPr>
          <w:rFonts w:hint="eastAsia"/>
        </w:rPr>
        <w:t>蜜蜂授粉。</w:t>
      </w:r>
      <w:r>
        <w:rPr>
          <w:rFonts w:hint="eastAsia" w:ascii="Times New Roman"/>
          <w:szCs w:val="21"/>
        </w:rPr>
        <w:t>约有10%的雌花开放时，每亩果园放置不少于7000头活力旺盛的蜜蜂，对果园内外与猕猴桃花期相同的作物、绿肥等应在花前刈割，以免干扰蜜蜂受粉。</w:t>
      </w:r>
    </w:p>
    <w:p>
      <w:pPr>
        <w:pStyle w:val="102"/>
      </w:pPr>
      <w:r>
        <w:rPr>
          <w:rFonts w:hint="eastAsia"/>
        </w:rPr>
        <w:t>人工授粉。</w:t>
      </w:r>
      <w:r>
        <w:rPr>
          <w:rFonts w:hint="eastAsia" w:ascii="Times New Roman"/>
          <w:szCs w:val="21"/>
        </w:rPr>
        <w:t>将花粉与辅料均匀混合，利用毛笔、自制授粉器、授粉枪等器具进行人工授粉，一般全园进行2~3次。</w:t>
      </w:r>
    </w:p>
    <w:p>
      <w:pPr>
        <w:pStyle w:val="110"/>
        <w:spacing w:before="156" w:after="156"/>
      </w:pPr>
      <w:r>
        <w:rPr>
          <w:rFonts w:hint="eastAsia"/>
        </w:rPr>
        <w:t>疏果</w:t>
      </w:r>
    </w:p>
    <w:p>
      <w:pPr>
        <w:pStyle w:val="62"/>
        <w:ind w:firstLine="420"/>
        <w:rPr>
          <w:rFonts w:ascii="Times New Roman"/>
          <w:szCs w:val="21"/>
        </w:rPr>
      </w:pPr>
      <w:r>
        <w:rPr>
          <w:rFonts w:hint="eastAsia" w:ascii="Times New Roman"/>
          <w:szCs w:val="21"/>
        </w:rPr>
        <w:t>盛花后10</w:t>
      </w:r>
      <w:r>
        <w:rPr>
          <w:rFonts w:ascii="Times New Roman"/>
          <w:szCs w:val="21"/>
        </w:rPr>
        <w:t xml:space="preserve"> </w:t>
      </w:r>
      <w:r>
        <w:rPr>
          <w:rFonts w:hint="eastAsia" w:ascii="Times New Roman"/>
          <w:szCs w:val="21"/>
        </w:rPr>
        <w:t>d~15 d进行疏果，一般进行两次。先疏去侧果、扁平果、畸形果、病虫果和碰伤果，选留发育良好、果梗粗壮、果形整齐且分布均匀的幼果。留果标准：健壮长果枝4~6个果，中庸果枝2~4个果，短果枝留果1个或不留果。成龄园，架面留果40~45个/m</w:t>
      </w:r>
      <w:r>
        <w:rPr>
          <w:rFonts w:hint="eastAsia" w:ascii="Times New Roman"/>
          <w:szCs w:val="21"/>
          <w:vertAlign w:val="superscript"/>
        </w:rPr>
        <w:t>2</w:t>
      </w:r>
      <w:r>
        <w:rPr>
          <w:rFonts w:hint="eastAsia" w:ascii="Times New Roman"/>
          <w:szCs w:val="21"/>
        </w:rPr>
        <w:t>。</w:t>
      </w:r>
    </w:p>
    <w:p>
      <w:pPr>
        <w:pStyle w:val="109"/>
        <w:spacing w:before="312" w:after="312"/>
        <w:rPr>
          <w:szCs w:val="21"/>
        </w:rPr>
      </w:pPr>
      <w:r>
        <w:rPr>
          <w:rFonts w:hint="eastAsia"/>
          <w:szCs w:val="21"/>
        </w:rPr>
        <w:t>病虫害防控</w:t>
      </w:r>
    </w:p>
    <w:p>
      <w:pPr>
        <w:pStyle w:val="62"/>
        <w:ind w:firstLine="420"/>
        <w:rPr>
          <w:color w:val="000000" w:themeColor="text1"/>
          <w14:textFill>
            <w14:solidFill>
              <w14:schemeClr w14:val="tx1"/>
            </w14:solidFill>
          </w14:textFill>
        </w:rPr>
      </w:pPr>
      <w:r>
        <w:rPr>
          <w:rFonts w:ascii="Times New Roman"/>
          <w:szCs w:val="21"/>
        </w:rPr>
        <w:t>按照第6部分</w:t>
      </w:r>
      <w:r>
        <w:rPr>
          <w:rFonts w:hint="eastAsia" w:ascii="Times New Roman"/>
          <w:szCs w:val="21"/>
        </w:rPr>
        <w:t>：</w:t>
      </w:r>
      <w:r>
        <w:rPr>
          <w:rFonts w:ascii="Times New Roman"/>
          <w:szCs w:val="21"/>
        </w:rPr>
        <w:t>病虫害</w:t>
      </w:r>
      <w:r>
        <w:rPr>
          <w:rFonts w:hint="eastAsia" w:ascii="Times New Roman"/>
          <w:szCs w:val="21"/>
        </w:rPr>
        <w:t>防控</w:t>
      </w:r>
      <w:r>
        <w:rPr>
          <w:rFonts w:ascii="Times New Roman"/>
          <w:szCs w:val="21"/>
        </w:rPr>
        <w:t>执行</w:t>
      </w:r>
      <w:r>
        <w:rPr>
          <w:rFonts w:hint="eastAsia" w:ascii="Times New Roman"/>
          <w:szCs w:val="21"/>
        </w:rPr>
        <w:t>。</w:t>
      </w:r>
    </w:p>
    <w:p>
      <w:pPr>
        <w:pStyle w:val="109"/>
        <w:spacing w:before="312" w:after="312"/>
        <w:rPr>
          <w:szCs w:val="21"/>
        </w:rPr>
      </w:pPr>
      <w:r>
        <w:rPr>
          <w:rFonts w:hint="eastAsia"/>
          <w:szCs w:val="21"/>
        </w:rPr>
        <w:t>适时采收</w:t>
      </w:r>
    </w:p>
    <w:p>
      <w:pPr>
        <w:pStyle w:val="62"/>
        <w:ind w:firstLine="420"/>
        <w:rPr>
          <w:color w:val="000000" w:themeColor="text1"/>
          <w14:textFill>
            <w14:solidFill>
              <w14:schemeClr w14:val="tx1"/>
            </w14:solidFill>
          </w14:textFill>
        </w:rPr>
      </w:pPr>
      <w:r>
        <w:rPr>
          <w:rFonts w:ascii="Times New Roman"/>
          <w:color w:val="000000"/>
          <w:szCs w:val="21"/>
        </w:rPr>
        <w:t>按照第7部分</w:t>
      </w:r>
      <w:r>
        <w:rPr>
          <w:rFonts w:hint="eastAsia" w:ascii="Times New Roman"/>
          <w:color w:val="000000"/>
          <w:szCs w:val="21"/>
        </w:rPr>
        <w:t>：采收</w:t>
      </w:r>
      <w:r>
        <w:rPr>
          <w:rFonts w:ascii="Times New Roman"/>
          <w:color w:val="000000"/>
          <w:szCs w:val="21"/>
        </w:rPr>
        <w:t>执行</w:t>
      </w:r>
      <w:r>
        <w:rPr>
          <w:rFonts w:hint="eastAsia"/>
          <w:color w:val="000000" w:themeColor="text1"/>
          <w14:textFill>
            <w14:solidFill>
              <w14:schemeClr w14:val="tx1"/>
            </w14:solidFill>
          </w14:textFill>
        </w:rPr>
        <w:t>。</w:t>
      </w:r>
    </w:p>
    <w:p>
      <w:pPr>
        <w:pStyle w:val="109"/>
        <w:spacing w:before="312" w:after="312"/>
        <w:rPr>
          <w:szCs w:val="21"/>
        </w:rPr>
      </w:pPr>
      <w:r>
        <w:rPr>
          <w:rFonts w:hint="eastAsia"/>
          <w:szCs w:val="21"/>
        </w:rPr>
        <w:t>灾害防御</w:t>
      </w:r>
    </w:p>
    <w:p>
      <w:pPr>
        <w:pStyle w:val="110"/>
        <w:spacing w:before="156" w:after="156"/>
      </w:pPr>
      <w:r>
        <w:rPr>
          <w:rFonts w:hint="eastAsia"/>
        </w:rPr>
        <w:t>冻害</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初冬时果树主干和枝蔓分叉处涂白，根茎部培土，适时浇水。寒流发生前，全树喷螯合盐制剂、乳油胶制剂等果树防冻剂。2月至4月初，寒流、霜冻来临前果园浇水、喷施防冻剂。当温度降至2 ℃时，采取持续对树体喷水或果园熏烟等措施。</w:t>
      </w:r>
    </w:p>
    <w:p>
      <w:pPr>
        <w:pStyle w:val="110"/>
        <w:spacing w:before="156" w:after="156"/>
      </w:pPr>
      <w:r>
        <w:rPr>
          <w:rFonts w:hint="eastAsia"/>
        </w:rPr>
        <w:t>风害</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风害严重区应建设防风林、防风墙。</w:t>
      </w:r>
    </w:p>
    <w:p>
      <w:pPr>
        <w:pStyle w:val="110"/>
        <w:spacing w:before="156" w:after="156"/>
      </w:pPr>
      <w:r>
        <w:rPr>
          <w:rFonts w:hint="eastAsia"/>
        </w:rPr>
        <w:t>日灼</w:t>
      </w:r>
    </w:p>
    <w:p>
      <w:pPr>
        <w:pStyle w:val="62"/>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6月至8月，保持土壤含水量不低于65%，行间生草，合理夏剪，外围果实套袋，选用遮阳网。</w:t>
      </w:r>
    </w:p>
    <w:p>
      <w:pPr>
        <w:pStyle w:val="179"/>
        <w:numPr>
          <w:ilvl w:val="0"/>
          <w:numId w:val="34"/>
        </w:numPr>
        <w:sectPr>
          <w:pgSz w:w="11906" w:h="16838"/>
          <w:pgMar w:top="1928" w:right="1134" w:bottom="1134" w:left="1134" w:header="1418" w:footer="1134" w:gutter="284"/>
          <w:pgNumType w:start="1"/>
          <w:cols w:space="425" w:num="1"/>
          <w:formProt w:val="0"/>
          <w:docGrid w:type="lines" w:linePitch="312" w:charSpace="0"/>
        </w:sectPr>
      </w:pPr>
    </w:p>
    <w:p>
      <w:pPr>
        <w:pStyle w:val="203"/>
        <w:numPr>
          <w:ilvl w:val="0"/>
          <w:numId w:val="35"/>
        </w:numPr>
        <w:ind w:firstLine="0"/>
        <w:rPr>
          <w:vanish w:val="0"/>
          <w:color w:val="000000" w:themeColor="text1"/>
          <w14:textFill>
            <w14:solidFill>
              <w14:schemeClr w14:val="tx1"/>
            </w14:solidFill>
          </w14:textFill>
        </w:rPr>
      </w:pPr>
      <w:bookmarkStart w:id="44" w:name="BookMark5"/>
    </w:p>
    <w:p>
      <w:pPr>
        <w:pStyle w:val="204"/>
        <w:numPr>
          <w:ilvl w:val="0"/>
          <w:numId w:val="36"/>
        </w:numPr>
        <w:ind w:firstLine="0"/>
        <w:rPr>
          <w:vanish w:val="0"/>
          <w:color w:val="000000" w:themeColor="text1"/>
          <w14:textFill>
            <w14:solidFill>
              <w14:schemeClr w14:val="tx1"/>
            </w14:solidFill>
          </w14:textFill>
        </w:rPr>
      </w:pPr>
    </w:p>
    <w:p>
      <w:pPr>
        <w:pStyle w:val="82"/>
        <w:spacing w:after="156"/>
      </w:pPr>
      <w:r>
        <w:br w:type="textWrapping"/>
      </w:r>
      <w:r>
        <w:rPr>
          <w:rFonts w:hint="eastAsia"/>
        </w:rPr>
        <w:t>（规范性）</w:t>
      </w:r>
      <w:r>
        <w:br w:type="textWrapping"/>
      </w:r>
      <w:r>
        <w:rPr>
          <w:rFonts w:hint="eastAsia"/>
        </w:rPr>
        <w:t>猕猴桃施肥种类及使用浓度</w:t>
      </w:r>
    </w:p>
    <w:p>
      <w:pPr>
        <w:pStyle w:val="83"/>
        <w:spacing w:before="156" w:after="156"/>
      </w:pPr>
      <w:r>
        <w:rPr>
          <w:rFonts w:hint="eastAsia"/>
        </w:rPr>
        <w:t>不同树龄猕猴桃果园参考施肥量</w:t>
      </w:r>
    </w:p>
    <w:tbl>
      <w:tblPr>
        <w:tblStyle w:val="36"/>
        <w:tblW w:w="93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251"/>
        <w:gridCol w:w="1267"/>
        <w:gridCol w:w="706"/>
        <w:gridCol w:w="1181"/>
        <w:gridCol w:w="1181"/>
        <w:gridCol w:w="1181"/>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68" w:type="dxa"/>
            <w:vMerge w:val="restart"/>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树龄</w:t>
            </w:r>
          </w:p>
        </w:tc>
        <w:tc>
          <w:tcPr>
            <w:tcW w:w="1251" w:type="dxa"/>
            <w:vMerge w:val="restart"/>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产量（kg</w:t>
            </w:r>
            <w:r>
              <w:rPr>
                <w:rFonts w:hint="eastAsia" w:ascii="宋体" w:hAnsi="宋体" w:cs="宋体"/>
                <w:color w:val="000000" w:themeColor="text1"/>
                <w:kern w:val="0"/>
                <w:sz w:val="18"/>
                <w:szCs w:val="18"/>
                <w14:textFill>
                  <w14:solidFill>
                    <w14:schemeClr w14:val="tx1"/>
                  </w14:solidFill>
                </w14:textFill>
              </w:rPr>
              <w:t>/667m</w:t>
            </w:r>
            <w:r>
              <w:rPr>
                <w:rFonts w:hint="eastAsia" w:ascii="宋体" w:hAnsi="宋体" w:cs="宋体"/>
                <w:color w:val="000000" w:themeColor="text1"/>
                <w:kern w:val="0"/>
                <w:sz w:val="18"/>
                <w:szCs w:val="18"/>
                <w:vertAlign w:val="super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w:t>
            </w:r>
          </w:p>
        </w:tc>
        <w:tc>
          <w:tcPr>
            <w:tcW w:w="1267" w:type="dxa"/>
            <w:vMerge w:val="restart"/>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优质有机肥（kg）</w:t>
            </w:r>
          </w:p>
        </w:tc>
        <w:tc>
          <w:tcPr>
            <w:tcW w:w="5315" w:type="dxa"/>
            <w:gridSpan w:val="5"/>
            <w:vAlign w:val="center"/>
          </w:tcPr>
          <w:p>
            <w:pPr>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施入量（kg</w:t>
            </w:r>
            <w:r>
              <w:rPr>
                <w:rFonts w:hint="eastAsia" w:ascii="宋体" w:hAnsi="宋体" w:cs="宋体"/>
                <w:color w:val="000000" w:themeColor="text1"/>
                <w:kern w:val="0"/>
                <w:sz w:val="18"/>
                <w:szCs w:val="18"/>
                <w14:textFill>
                  <w14:solidFill>
                    <w14:schemeClr w14:val="tx1"/>
                  </w14:solidFill>
                </w14:textFill>
              </w:rPr>
              <w:t>/667m</w:t>
            </w:r>
            <w:r>
              <w:rPr>
                <w:rFonts w:hint="eastAsia" w:ascii="宋体" w:hAnsi="宋体" w:cs="宋体"/>
                <w:color w:val="000000" w:themeColor="text1"/>
                <w:kern w:val="0"/>
                <w:sz w:val="18"/>
                <w:szCs w:val="18"/>
                <w:vertAlign w:val="super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68" w:type="dxa"/>
            <w:vMerge w:val="continue"/>
            <w:vAlign w:val="center"/>
          </w:tcPr>
          <w:p>
            <w:pPr>
              <w:spacing w:line="240" w:lineRule="atLeast"/>
              <w:jc w:val="center"/>
              <w:rPr>
                <w:rFonts w:ascii="宋体" w:hAnsi="宋体" w:cs="宋体"/>
                <w:color w:val="000000" w:themeColor="text1"/>
                <w:sz w:val="18"/>
                <w:szCs w:val="18"/>
                <w14:textFill>
                  <w14:solidFill>
                    <w14:schemeClr w14:val="tx1"/>
                  </w14:solidFill>
                </w14:textFill>
              </w:rPr>
            </w:pPr>
          </w:p>
        </w:tc>
        <w:tc>
          <w:tcPr>
            <w:tcW w:w="1251" w:type="dxa"/>
            <w:vMerge w:val="continue"/>
            <w:vAlign w:val="center"/>
          </w:tcPr>
          <w:p>
            <w:pPr>
              <w:spacing w:line="240" w:lineRule="atLeast"/>
              <w:jc w:val="center"/>
              <w:rPr>
                <w:rFonts w:ascii="宋体" w:hAnsi="宋体" w:cs="宋体"/>
                <w:color w:val="000000" w:themeColor="text1"/>
                <w:sz w:val="18"/>
                <w:szCs w:val="18"/>
                <w14:textFill>
                  <w14:solidFill>
                    <w14:schemeClr w14:val="tx1"/>
                  </w14:solidFill>
                </w14:textFill>
              </w:rPr>
            </w:pPr>
          </w:p>
        </w:tc>
        <w:tc>
          <w:tcPr>
            <w:tcW w:w="1267" w:type="dxa"/>
            <w:vMerge w:val="continue"/>
            <w:vAlign w:val="center"/>
          </w:tcPr>
          <w:p>
            <w:pPr>
              <w:spacing w:line="240" w:lineRule="atLeast"/>
              <w:jc w:val="center"/>
              <w:rPr>
                <w:rFonts w:ascii="宋体" w:hAnsi="宋体" w:cs="宋体"/>
                <w:color w:val="000000" w:themeColor="text1"/>
                <w:sz w:val="18"/>
                <w:szCs w:val="18"/>
                <w14:textFill>
                  <w14:solidFill>
                    <w14:schemeClr w14:val="tx1"/>
                  </w14:solidFill>
                </w14:textFill>
              </w:rPr>
            </w:pPr>
          </w:p>
        </w:tc>
        <w:tc>
          <w:tcPr>
            <w:tcW w:w="70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纯</w:t>
            </w:r>
            <w:r>
              <w:rPr>
                <w:rFonts w:ascii="宋体" w:hAnsi="宋体" w:cs="宋体"/>
                <w:color w:val="000000" w:themeColor="text1"/>
                <w:sz w:val="18"/>
                <w:szCs w:val="18"/>
                <w14:textFill>
                  <w14:solidFill>
                    <w14:schemeClr w14:val="tx1"/>
                  </w14:solidFill>
                </w14:textFill>
              </w:rPr>
              <w:t>N</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尿素</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P</w:t>
            </w:r>
            <w:r>
              <w:rPr>
                <w:rFonts w:ascii="宋体" w:hAnsi="宋体" w:cs="宋体"/>
                <w:color w:val="000000" w:themeColor="text1"/>
                <w:sz w:val="18"/>
                <w:szCs w:val="18"/>
                <w:vertAlign w:val="subscript"/>
                <w14:textFill>
                  <w14:solidFill>
                    <w14:schemeClr w14:val="tx1"/>
                  </w14:solidFill>
                </w14:textFill>
              </w:rPr>
              <w:t>2</w:t>
            </w:r>
            <w:r>
              <w:rPr>
                <w:rFonts w:ascii="宋体" w:hAnsi="宋体" w:cs="宋体"/>
                <w:color w:val="000000" w:themeColor="text1"/>
                <w:sz w:val="18"/>
                <w:szCs w:val="18"/>
                <w14:textFill>
                  <w14:solidFill>
                    <w14:schemeClr w14:val="tx1"/>
                  </w14:solidFill>
                </w14:textFill>
              </w:rPr>
              <w:t>O</w:t>
            </w:r>
            <w:r>
              <w:rPr>
                <w:rFonts w:ascii="宋体" w:hAnsi="宋体" w:cs="宋体"/>
                <w:color w:val="000000" w:themeColor="text1"/>
                <w:sz w:val="18"/>
                <w:szCs w:val="18"/>
                <w:vertAlign w:val="subscript"/>
                <w14:textFill>
                  <w14:solidFill>
                    <w14:schemeClr w14:val="tx1"/>
                  </w14:solidFill>
                </w14:textFill>
              </w:rPr>
              <w:t>5</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K</w:t>
            </w:r>
            <w:r>
              <w:rPr>
                <w:rFonts w:ascii="宋体" w:hAnsi="宋体" w:cs="宋体"/>
                <w:color w:val="000000" w:themeColor="text1"/>
                <w:sz w:val="18"/>
                <w:szCs w:val="18"/>
                <w:vertAlign w:val="subscript"/>
                <w14:textFill>
                  <w14:solidFill>
                    <w14:schemeClr w14:val="tx1"/>
                  </w14:solidFill>
                </w14:textFill>
              </w:rPr>
              <w:t>2</w:t>
            </w:r>
            <w:r>
              <w:rPr>
                <w:rFonts w:ascii="宋体" w:hAnsi="宋体" w:cs="宋体"/>
                <w:color w:val="000000" w:themeColor="text1"/>
                <w:sz w:val="18"/>
                <w:szCs w:val="18"/>
                <w14:textFill>
                  <w14:solidFill>
                    <w14:schemeClr w14:val="tx1"/>
                  </w14:solidFill>
                </w14:textFill>
              </w:rPr>
              <w:t>O</w:t>
            </w:r>
          </w:p>
        </w:tc>
        <w:tc>
          <w:tcPr>
            <w:tcW w:w="106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68"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1年生</w:t>
            </w:r>
          </w:p>
        </w:tc>
        <w:tc>
          <w:tcPr>
            <w:tcW w:w="125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w:t>
            </w:r>
          </w:p>
        </w:tc>
        <w:tc>
          <w:tcPr>
            <w:tcW w:w="1267"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5000</w:t>
            </w:r>
          </w:p>
        </w:tc>
        <w:tc>
          <w:tcPr>
            <w:tcW w:w="70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10</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21.4</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9.1</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4.8</w:t>
            </w:r>
          </w:p>
        </w:tc>
        <w:tc>
          <w:tcPr>
            <w:tcW w:w="106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68"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2～3年生</w:t>
            </w:r>
          </w:p>
        </w:tc>
        <w:tc>
          <w:tcPr>
            <w:tcW w:w="125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w:t>
            </w:r>
          </w:p>
        </w:tc>
        <w:tc>
          <w:tcPr>
            <w:tcW w:w="1267"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5000</w:t>
            </w:r>
          </w:p>
        </w:tc>
        <w:tc>
          <w:tcPr>
            <w:tcW w:w="70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12</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21.4</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25.7</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13.7</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18.3</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9.6</w:t>
            </w:r>
          </w:p>
        </w:tc>
        <w:tc>
          <w:tcPr>
            <w:tcW w:w="106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9.8</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68"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4～5年生</w:t>
            </w:r>
          </w:p>
        </w:tc>
        <w:tc>
          <w:tcPr>
            <w:tcW w:w="125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1000</w:t>
            </w:r>
          </w:p>
        </w:tc>
        <w:tc>
          <w:tcPr>
            <w:tcW w:w="1267"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3000</w:t>
            </w:r>
          </w:p>
        </w:tc>
        <w:tc>
          <w:tcPr>
            <w:tcW w:w="70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14</w:t>
            </w:r>
            <w:r>
              <w:rPr>
                <w:rFonts w:hint="eastAsia" w:ascii="Times New Roman"/>
                <w:color w:val="000000" w:themeColor="text1"/>
                <w:sz w:val="24"/>
                <w:szCs w:val="24"/>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16</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r>
              <w:rPr>
                <w:rFonts w:hint="eastAsia" w:ascii="Times New Roman"/>
                <w:color w:val="000000" w:themeColor="text1"/>
                <w:sz w:val="24"/>
                <w:szCs w:val="24"/>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34.3</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18.3</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22.9</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12</w:t>
            </w:r>
          </w:p>
        </w:tc>
        <w:tc>
          <w:tcPr>
            <w:tcW w:w="106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15.4</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68"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6～7年生</w:t>
            </w:r>
          </w:p>
        </w:tc>
        <w:tc>
          <w:tcPr>
            <w:tcW w:w="125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1500</w:t>
            </w:r>
          </w:p>
        </w:tc>
        <w:tc>
          <w:tcPr>
            <w:tcW w:w="1267"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3000</w:t>
            </w:r>
          </w:p>
        </w:tc>
        <w:tc>
          <w:tcPr>
            <w:tcW w:w="70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18</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38.5</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22.9</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27.5</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14.5</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19.3</w:t>
            </w:r>
          </w:p>
        </w:tc>
        <w:tc>
          <w:tcPr>
            <w:tcW w:w="106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18.2</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68"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成龄园</w:t>
            </w:r>
          </w:p>
        </w:tc>
        <w:tc>
          <w:tcPr>
            <w:tcW w:w="125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2000</w:t>
            </w:r>
          </w:p>
        </w:tc>
        <w:tc>
          <w:tcPr>
            <w:tcW w:w="1267"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5000</w:t>
            </w:r>
          </w:p>
        </w:tc>
        <w:tc>
          <w:tcPr>
            <w:tcW w:w="70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25</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42.8</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53.5</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22.9</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27.5</w:t>
            </w:r>
          </w:p>
        </w:tc>
        <w:tc>
          <w:tcPr>
            <w:tcW w:w="1181"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19.3</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21.7</w:t>
            </w:r>
          </w:p>
        </w:tc>
        <w:tc>
          <w:tcPr>
            <w:tcW w:w="1066"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w:t>
            </w:r>
            <w:r>
              <w:rPr>
                <w:rFonts w:hint="eastAsia" w:ascii="Times New Roman"/>
                <w:color w:val="000000" w:themeColor="text1"/>
                <w:sz w:val="24"/>
                <w:szCs w:val="24"/>
                <w14:textFill>
                  <w14:solidFill>
                    <w14:schemeClr w14:val="tx1"/>
                  </w14:solidFill>
                </w14:textFill>
              </w:rPr>
              <w:t>~</w:t>
            </w:r>
            <w:r>
              <w:rPr>
                <w:rFonts w:ascii="宋体" w:hAnsi="宋体" w:cs="宋体"/>
                <w:color w:val="000000" w:themeColor="text1"/>
                <w:sz w:val="18"/>
                <w:szCs w:val="18"/>
                <w14:textFill>
                  <w14:solidFill>
                    <w14:schemeClr w14:val="tx1"/>
                  </w14:solidFill>
                </w14:textFill>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301" w:type="dxa"/>
            <w:gridSpan w:val="8"/>
          </w:tcPr>
          <w:p>
            <w:pPr>
              <w:pStyle w:val="184"/>
              <w:numPr>
                <w:ilvl w:val="0"/>
                <w:numId w:val="32"/>
              </w:numPr>
              <w:spacing w:line="240" w:lineRule="atLeast"/>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根据需要加入适量的硼、铁、镁、锌等中微量元素，同时混入生物菌肥。</w:t>
            </w:r>
          </w:p>
        </w:tc>
      </w:tr>
    </w:tbl>
    <w:p>
      <w:pPr>
        <w:pStyle w:val="83"/>
        <w:spacing w:before="156" w:after="156"/>
      </w:pPr>
      <w:r>
        <w:rPr>
          <w:rFonts w:hint="eastAsia"/>
        </w:rPr>
        <w:t>常见氮磷钾钙肥种类及其换算系数</w:t>
      </w:r>
    </w:p>
    <w:tbl>
      <w:tblPr>
        <w:tblStyle w:val="36"/>
        <w:tblW w:w="91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7"/>
        <w:gridCol w:w="5752"/>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shd w:val="clear" w:color="auto" w:fill="auto"/>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名称</w:t>
            </w:r>
          </w:p>
        </w:tc>
        <w:tc>
          <w:tcPr>
            <w:tcW w:w="5752" w:type="dxa"/>
            <w:shd w:val="clear" w:color="auto" w:fill="auto"/>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特性</w:t>
            </w:r>
          </w:p>
        </w:tc>
        <w:tc>
          <w:tcPr>
            <w:tcW w:w="1560" w:type="dxa"/>
            <w:shd w:val="clear" w:color="auto" w:fill="auto"/>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硫酸铵</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含氮量21.2%，1 kg尿素含氮量等同于2.21 kg硫酸铵</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氮肥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碳酸氢铵</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含氮量17.7%，1 kg尿素含氮量等同于2.64 kg碳酸氢铵</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氮肥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硝酸铵</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含氮量35%，1 kg尿素含氮量等同于1.33 kg硝酸铵</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氮肥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Merge w:val="restart"/>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磷酸氢二铵</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含氮量21.2%，1 kg尿素含氮量等同于2.21 kg磷酸氢二铵</w:t>
            </w:r>
          </w:p>
        </w:tc>
        <w:tc>
          <w:tcPr>
            <w:tcW w:w="1560" w:type="dxa"/>
            <w:vMerge w:val="restart"/>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氮磷肥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Merge w:val="continue"/>
            <w:vAlign w:val="center"/>
          </w:tcPr>
          <w:p>
            <w:pPr>
              <w:widowControl/>
              <w:spacing w:line="240" w:lineRule="atLeast"/>
              <w:jc w:val="left"/>
              <w:rPr>
                <w:rFonts w:ascii="宋体" w:hAnsi="宋体" w:cs="宋体"/>
                <w:color w:val="000000" w:themeColor="text1"/>
                <w:kern w:val="0"/>
                <w:sz w:val="18"/>
                <w:szCs w:val="18"/>
                <w14:textFill>
                  <w14:solidFill>
                    <w14:schemeClr w14:val="tx1"/>
                  </w14:solidFill>
                </w14:textFill>
              </w:rPr>
            </w:pP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含P</w:t>
            </w:r>
            <w:r>
              <w:rPr>
                <w:rFonts w:ascii="宋体" w:hAnsi="宋体" w:cs="宋体"/>
                <w:color w:val="000000" w:themeColor="text1"/>
                <w:kern w:val="0"/>
                <w:sz w:val="18"/>
                <w:szCs w:val="18"/>
                <w:vertAlign w:val="sub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O</w:t>
            </w:r>
            <w:r>
              <w:rPr>
                <w:rFonts w:ascii="宋体" w:hAnsi="宋体" w:cs="宋体"/>
                <w:color w:val="000000" w:themeColor="text1"/>
                <w:kern w:val="0"/>
                <w:sz w:val="18"/>
                <w:szCs w:val="18"/>
                <w:vertAlign w:val="subscript"/>
                <w14:textFill>
                  <w14:solidFill>
                    <w14:schemeClr w14:val="tx1"/>
                  </w14:solidFill>
                </w14:textFill>
              </w:rPr>
              <w:t>5</w:t>
            </w:r>
            <w:r>
              <w:rPr>
                <w:rFonts w:ascii="宋体" w:hAnsi="宋体" w:cs="宋体"/>
                <w:color w:val="000000" w:themeColor="text1"/>
                <w:kern w:val="0"/>
                <w:sz w:val="18"/>
                <w:szCs w:val="18"/>
                <w14:textFill>
                  <w14:solidFill>
                    <w14:schemeClr w14:val="tx1"/>
                  </w14:solidFill>
                </w14:textFill>
              </w:rPr>
              <w:t>量53.8%</w:t>
            </w:r>
          </w:p>
        </w:tc>
        <w:tc>
          <w:tcPr>
            <w:tcW w:w="1560" w:type="dxa"/>
            <w:vMerge w:val="continue"/>
            <w:vAlign w:val="center"/>
          </w:tcPr>
          <w:p>
            <w:pPr>
              <w:widowControl/>
              <w:spacing w:line="240" w:lineRule="atLeast"/>
              <w:jc w:val="left"/>
              <w:rPr>
                <w:rFonts w:ascii="宋体" w:hAns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磷酸二氢钾</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含K</w:t>
            </w:r>
            <w:r>
              <w:rPr>
                <w:rFonts w:ascii="宋体" w:hAnsi="宋体" w:cs="宋体"/>
                <w:color w:val="000000" w:themeColor="text1"/>
                <w:kern w:val="0"/>
                <w:sz w:val="18"/>
                <w:szCs w:val="18"/>
                <w:vertAlign w:val="sub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O量34.61%，含P</w:t>
            </w:r>
            <w:r>
              <w:rPr>
                <w:rFonts w:ascii="宋体" w:hAnsi="宋体" w:cs="宋体"/>
                <w:color w:val="000000" w:themeColor="text1"/>
                <w:kern w:val="0"/>
                <w:sz w:val="18"/>
                <w:szCs w:val="18"/>
                <w:vertAlign w:val="sub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O</w:t>
            </w:r>
            <w:r>
              <w:rPr>
                <w:rFonts w:ascii="宋体" w:hAnsi="宋体" w:cs="宋体"/>
                <w:color w:val="000000" w:themeColor="text1"/>
                <w:kern w:val="0"/>
                <w:sz w:val="18"/>
                <w:szCs w:val="18"/>
                <w:vertAlign w:val="subscript"/>
                <w14:textFill>
                  <w14:solidFill>
                    <w14:schemeClr w14:val="tx1"/>
                  </w14:solidFill>
                </w14:textFill>
              </w:rPr>
              <w:t>5</w:t>
            </w:r>
            <w:r>
              <w:rPr>
                <w:rFonts w:ascii="宋体" w:hAnsi="宋体" w:cs="宋体"/>
                <w:color w:val="000000" w:themeColor="text1"/>
                <w:kern w:val="0"/>
                <w:sz w:val="18"/>
                <w:szCs w:val="18"/>
                <w14:textFill>
                  <w14:solidFill>
                    <w14:schemeClr w14:val="tx1"/>
                  </w14:solidFill>
                </w14:textFill>
              </w:rPr>
              <w:t>量52.16%</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磷钾肥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硝酸钾</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含氮量13.9%，含K</w:t>
            </w:r>
            <w:r>
              <w:rPr>
                <w:rFonts w:ascii="宋体" w:hAnsi="宋体" w:cs="宋体"/>
                <w:color w:val="000000" w:themeColor="text1"/>
                <w:kern w:val="0"/>
                <w:sz w:val="18"/>
                <w:szCs w:val="18"/>
                <w:vertAlign w:val="sub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O量46.5%</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钾肥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硫酸钾</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含K</w:t>
            </w:r>
            <w:r>
              <w:rPr>
                <w:rFonts w:ascii="宋体" w:hAnsi="宋体" w:cs="宋体"/>
                <w:color w:val="000000" w:themeColor="text1"/>
                <w:kern w:val="0"/>
                <w:sz w:val="18"/>
                <w:szCs w:val="18"/>
                <w:vertAlign w:val="sub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O量54%，</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钾肥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氯化钾</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含K</w:t>
            </w:r>
            <w:r>
              <w:rPr>
                <w:rFonts w:ascii="宋体" w:hAnsi="宋体" w:cs="宋体"/>
                <w:color w:val="000000" w:themeColor="text1"/>
                <w:kern w:val="0"/>
                <w:sz w:val="18"/>
                <w:szCs w:val="18"/>
                <w:vertAlign w:val="subscript"/>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O量63%，</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钾肥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碳酸钙</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含CaO量56%</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钙肥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877"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硝酸钙</w:t>
            </w:r>
          </w:p>
        </w:tc>
        <w:tc>
          <w:tcPr>
            <w:tcW w:w="575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含CaO量34.1%</w:t>
            </w:r>
          </w:p>
        </w:tc>
        <w:tc>
          <w:tcPr>
            <w:tcW w:w="1560" w:type="dxa"/>
            <w:vAlign w:val="center"/>
          </w:tcPr>
          <w:p>
            <w:pPr>
              <w:spacing w:line="240" w:lineRule="atLeas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钙肥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7629" w:type="dxa"/>
            <w:gridSpan w:val="2"/>
            <w:vAlign w:val="center"/>
          </w:tcPr>
          <w:p>
            <w:pPr>
              <w:pStyle w:val="184"/>
              <w:numPr>
                <w:ilvl w:val="0"/>
                <w:numId w:val="32"/>
              </w:numP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不同种类按照换算后可相互配合使用</w:t>
            </w:r>
          </w:p>
        </w:tc>
        <w:tc>
          <w:tcPr>
            <w:tcW w:w="1560" w:type="dxa"/>
          </w:tcPr>
          <w:p>
            <w:pPr>
              <w:widowControl/>
              <w:spacing w:line="240" w:lineRule="atLeast"/>
              <w:jc w:val="left"/>
              <w:rPr>
                <w:rFonts w:ascii="宋体" w:hAnsi="宋体" w:cs="宋体"/>
                <w:color w:val="000000" w:themeColor="text1"/>
                <w:kern w:val="0"/>
                <w:sz w:val="18"/>
                <w:szCs w:val="18"/>
                <w14:textFill>
                  <w14:solidFill>
                    <w14:schemeClr w14:val="tx1"/>
                  </w14:solidFill>
                </w14:textFill>
              </w:rPr>
            </w:pPr>
          </w:p>
        </w:tc>
      </w:tr>
    </w:tbl>
    <w:p>
      <w:pPr>
        <w:pStyle w:val="83"/>
        <w:spacing w:before="156" w:after="156"/>
      </w:pPr>
      <w:bookmarkStart w:id="45" w:name="_Hlk183197266"/>
      <w:r>
        <w:rPr>
          <w:rFonts w:hint="eastAsia"/>
        </w:rPr>
        <w:t>常用叶面肥喷施浓度</w:t>
      </w:r>
    </w:p>
    <w:bookmarkEnd w:id="45"/>
    <w:tbl>
      <w:tblPr>
        <w:tblStyle w:val="36"/>
        <w:tblW w:w="92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1610"/>
        <w:gridCol w:w="2015"/>
        <w:gridCol w:w="3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shd w:val="clear" w:color="auto" w:fill="auto"/>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名称</w:t>
            </w:r>
          </w:p>
        </w:tc>
        <w:tc>
          <w:tcPr>
            <w:tcW w:w="1610" w:type="dxa"/>
            <w:shd w:val="clear" w:color="auto" w:fill="auto"/>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浓度（</w:t>
            </w:r>
            <w:r>
              <w:rPr>
                <w:rFonts w:ascii="宋体" w:hAnsi="宋体" w:cs="宋体"/>
                <w:color w:val="000000" w:themeColor="text1"/>
                <w:kern w:val="0"/>
                <w:sz w:val="18"/>
                <w:szCs w:val="18"/>
                <w14:textFill>
                  <w14:solidFill>
                    <w14:schemeClr w14:val="tx1"/>
                  </w14:solidFill>
                </w14:textFill>
              </w:rPr>
              <w:t>%）</w:t>
            </w:r>
          </w:p>
        </w:tc>
        <w:tc>
          <w:tcPr>
            <w:tcW w:w="2015" w:type="dxa"/>
            <w:shd w:val="clear" w:color="auto" w:fill="auto"/>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喷施时间</w:t>
            </w:r>
          </w:p>
        </w:tc>
        <w:tc>
          <w:tcPr>
            <w:tcW w:w="3312" w:type="dxa"/>
            <w:shd w:val="clear" w:color="auto" w:fill="auto"/>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黄腐酸、氨基酸</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0.3</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0.5</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生长季节</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促进枝、叶、果生长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尿素</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0.3</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0.5</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谢花定果后</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促进叶片增大、果实膨大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磷酸二氢钾</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0.2</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0.3</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果实转色期</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增强树体与果实生长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过磷酸钙</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0.2</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0.3</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果实膨大期</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提高果实品质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有机钙</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0.1</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0.15</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果实膨大期</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提高果实品质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硼砂</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0.2</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0.3</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萌芽后开花前</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减少畸形花，防止藤肿病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硫酸锌</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0.1</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0.2</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生长季节</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防缺锌引起小叶黄化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螯合铁</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0.05</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0.1</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生长季节</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防黄化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2299"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稀土微肥</w:t>
            </w:r>
          </w:p>
        </w:tc>
        <w:tc>
          <w:tcPr>
            <w:tcW w:w="1610"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0.3</w:t>
            </w:r>
            <w:r>
              <w:rPr>
                <w:rFonts w:ascii="Times New Roman" w:hAnsi="Times New Roman"/>
                <w:color w:val="000000" w:themeColor="text1"/>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0.5</w:t>
            </w:r>
          </w:p>
        </w:tc>
        <w:tc>
          <w:tcPr>
            <w:tcW w:w="2015"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生长季节</w:t>
            </w:r>
          </w:p>
        </w:tc>
        <w:tc>
          <w:tcPr>
            <w:tcW w:w="3312" w:type="dxa"/>
            <w:vAlign w:val="center"/>
          </w:tcPr>
          <w:p>
            <w:pPr>
              <w:widowControl/>
              <w:spacing w:line="240" w:lineRule="atLeas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增加着色和耐贮性</w:t>
            </w:r>
          </w:p>
        </w:tc>
      </w:tr>
    </w:tbl>
    <w:p>
      <w:pPr>
        <w:widowControl/>
        <w:adjustRightInd/>
        <w:spacing w:line="240" w:lineRule="auto"/>
        <w:jc w:val="left"/>
        <w:rPr>
          <w:color w:val="000000" w:themeColor="text1"/>
          <w14:textFill>
            <w14:solidFill>
              <w14:schemeClr w14:val="tx1"/>
            </w14:solidFill>
          </w14:textFill>
        </w:rPr>
        <w:sectPr>
          <w:pgSz w:w="11906" w:h="16838"/>
          <w:pgMar w:top="1928" w:right="1134" w:bottom="1134" w:left="1134" w:header="1418" w:footer="1134" w:gutter="284"/>
          <w:cols w:space="425" w:num="1"/>
          <w:formProt w:val="0"/>
          <w:docGrid w:type="lines" w:linePitch="312" w:charSpace="0"/>
        </w:sectPr>
      </w:pPr>
    </w:p>
    <w:p>
      <w:pPr>
        <w:pStyle w:val="203"/>
        <w:numPr>
          <w:ilvl w:val="0"/>
          <w:numId w:val="35"/>
        </w:numPr>
        <w:ind w:firstLine="0"/>
        <w:rPr>
          <w:vanish w:val="0"/>
          <w:color w:val="000000" w:themeColor="text1"/>
          <w14:textFill>
            <w14:solidFill>
              <w14:schemeClr w14:val="tx1"/>
            </w14:solidFill>
          </w14:textFill>
        </w:rPr>
      </w:pPr>
    </w:p>
    <w:p>
      <w:pPr>
        <w:pStyle w:val="204"/>
        <w:numPr>
          <w:ilvl w:val="0"/>
          <w:numId w:val="36"/>
        </w:numPr>
        <w:ind w:firstLine="0"/>
        <w:rPr>
          <w:vanish w:val="0"/>
          <w:color w:val="000000" w:themeColor="text1"/>
          <w14:textFill>
            <w14:solidFill>
              <w14:schemeClr w14:val="tx1"/>
            </w14:solidFill>
          </w14:textFill>
        </w:rPr>
      </w:pPr>
    </w:p>
    <w:bookmarkEnd w:id="44"/>
    <w:p>
      <w:pPr>
        <w:pStyle w:val="62"/>
        <w:ind w:firstLine="0" w:firstLineChars="0"/>
        <w:jc w:val="center"/>
      </w:pPr>
      <w:r>
        <w:drawing>
          <wp:inline distT="0" distB="0" distL="0" distR="0">
            <wp:extent cx="1485900" cy="317500"/>
            <wp:effectExtent l="0" t="0" r="0" b="6350"/>
            <wp:docPr id="5"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bookmarkEnd w:id="21"/>
      <w:bookmarkEnd w:id="43"/>
    </w:p>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6579"/>
    <w:multiLevelType w:val="singleLevel"/>
    <w:tmpl w:val="00D36579"/>
    <w:lvl w:ilvl="0" w:tentative="0">
      <w:start w:val="1"/>
      <w:numFmt w:val="lowerLetter"/>
      <w:suff w:val="nothing"/>
      <w:lvlText w:val="%1）"/>
      <w:lvlJc w:val="left"/>
    </w:lvl>
  </w:abstractNum>
  <w:abstractNum w:abstractNumId="1">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4">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8">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9">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2">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lvlRestart w:val="0"/>
      <w:isLgl/>
      <w:suff w:val="space"/>
      <w:lvlText w:val="表A.%2"/>
      <w:lvlJc w:val="center"/>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9">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DBF04F4"/>
    <w:multiLevelType w:val="multilevel"/>
    <w:tmpl w:val="6DBF04F4"/>
    <w:lvl w:ilvl="0" w:tentative="0">
      <w:start w:val="1"/>
      <w:numFmt w:val="none"/>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2">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3">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5"/>
  </w:num>
  <w:num w:numId="2">
    <w:abstractNumId w:val="27"/>
  </w:num>
  <w:num w:numId="3">
    <w:abstractNumId w:val="32"/>
  </w:num>
  <w:num w:numId="4">
    <w:abstractNumId w:val="9"/>
  </w:num>
  <w:num w:numId="5">
    <w:abstractNumId w:val="11"/>
  </w:num>
  <w:num w:numId="6">
    <w:abstractNumId w:val="16"/>
  </w:num>
  <w:num w:numId="7">
    <w:abstractNumId w:val="24"/>
  </w:num>
  <w:num w:numId="8">
    <w:abstractNumId w:val="22"/>
  </w:num>
  <w:num w:numId="9">
    <w:abstractNumId w:val="18"/>
  </w:num>
  <w:num w:numId="10">
    <w:abstractNumId w:val="26"/>
  </w:num>
  <w:num w:numId="11">
    <w:abstractNumId w:val="2"/>
  </w:num>
  <w:num w:numId="12">
    <w:abstractNumId w:val="23"/>
  </w:num>
  <w:num w:numId="13">
    <w:abstractNumId w:val="17"/>
  </w:num>
  <w:num w:numId="14">
    <w:abstractNumId w:val="4"/>
  </w:num>
  <w:num w:numId="15">
    <w:abstractNumId w:val="13"/>
  </w:num>
  <w:num w:numId="16">
    <w:abstractNumId w:val="20"/>
  </w:num>
  <w:num w:numId="17">
    <w:abstractNumId w:val="12"/>
  </w:num>
  <w:num w:numId="18">
    <w:abstractNumId w:val="10"/>
  </w:num>
  <w:num w:numId="19">
    <w:abstractNumId w:val="31"/>
  </w:num>
  <w:num w:numId="20">
    <w:abstractNumId w:val="21"/>
  </w:num>
  <w:num w:numId="21">
    <w:abstractNumId w:val="8"/>
  </w:num>
  <w:num w:numId="22">
    <w:abstractNumId w:val="6"/>
  </w:num>
  <w:num w:numId="23">
    <w:abstractNumId w:val="33"/>
  </w:num>
  <w:num w:numId="24">
    <w:abstractNumId w:val="1"/>
  </w:num>
  <w:num w:numId="25">
    <w:abstractNumId w:val="28"/>
  </w:num>
  <w:num w:numId="26">
    <w:abstractNumId w:val="7"/>
  </w:num>
  <w:num w:numId="27">
    <w:abstractNumId w:val="5"/>
  </w:num>
  <w:num w:numId="28">
    <w:abstractNumId w:val="29"/>
  </w:num>
  <w:num w:numId="29">
    <w:abstractNumId w:val="3"/>
  </w:num>
  <w:num w:numId="30">
    <w:abstractNumId w:val="0"/>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9"/>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1511FA"/>
    <w:rsid w:val="002674FD"/>
    <w:rsid w:val="00326251"/>
    <w:rsid w:val="003F305B"/>
    <w:rsid w:val="00491B4B"/>
    <w:rsid w:val="007B63E8"/>
    <w:rsid w:val="007E07DC"/>
    <w:rsid w:val="00935B3D"/>
    <w:rsid w:val="009C2EE3"/>
    <w:rsid w:val="00A15977"/>
    <w:rsid w:val="00AE076C"/>
    <w:rsid w:val="00B765E5"/>
    <w:rsid w:val="00C1442C"/>
    <w:rsid w:val="00C41D1D"/>
    <w:rsid w:val="00C728BC"/>
    <w:rsid w:val="00CB4779"/>
    <w:rsid w:val="00CE1FA7"/>
    <w:rsid w:val="00CF075E"/>
    <w:rsid w:val="00DB7035"/>
    <w:rsid w:val="00DF1ADC"/>
    <w:rsid w:val="00E444F8"/>
    <w:rsid w:val="00E75CBD"/>
    <w:rsid w:val="00E81B8D"/>
    <w:rsid w:val="00F20E95"/>
    <w:rsid w:val="00F2411F"/>
    <w:rsid w:val="00FA35C7"/>
    <w:rsid w:val="00FC4910"/>
    <w:rsid w:val="00FE5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8"/>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753</Words>
  <Characters>4298</Characters>
  <Lines>35</Lines>
  <Paragraphs>10</Paragraphs>
  <TotalTime>2</TotalTime>
  <ScaleCrop>false</ScaleCrop>
  <LinksUpToDate>false</LinksUpToDate>
  <CharactersWithSpaces>5041</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2025-02-06T08:24:00Z</dcterms:created>
  <dc:creator>Administrator</dc:creator>
  <cp:lastModifiedBy>Administrator</cp:lastModifiedBy>
  <dcterms:modified xsi:type="dcterms:W3CDTF">2025-02-07T01:14:44Z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